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notes.xml" ContentType="application/vnd.openxmlformats-officedocument.wordprocessingml.footnotes+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caps w:val="false"/>
          <w:smallCaps w:val="false"/>
          <w:sz w:val="24"/>
        </w:rPr>
      </w:pPr>
      <w:r>
        <w:rPr>
          <w:caps w:val="false"/>
          <w:smallCaps w:val="false"/>
          <w:sz w:val="24"/>
        </w:rPr>
        <w:t>________________________________________________________________________</w:t>
      </w:r>
    </w:p>
    <w:p>
      <w:pPr>
        <w:pStyle w:val="Heading4"/>
        <w:ind w:hanging="0" w:start="0"/>
        <w:rPr>
          <w:b w:val="false"/>
          <w:caps/>
          <w:sz w:val="24"/>
        </w:rPr>
      </w:pPr>
      <w:r>
        <w:rPr>
          <w:b w:val="false"/>
          <w:caps/>
          <w:sz w:val="24"/>
        </w:rPr>
      </w:r>
    </w:p>
    <w:p>
      <w:pPr>
        <w:pStyle w:val="Heading4"/>
        <w:ind w:hanging="0" w:start="0"/>
        <w:rPr>
          <w:spacing w:val="100"/>
        </w:rPr>
      </w:pPr>
      <w:r>
        <w:rPr>
          <w:spacing w:val="100"/>
        </w:rPr>
        <w:t>MEMORANDUM</w:t>
      </w:r>
    </w:p>
    <w:p>
      <w:pPr>
        <w:pStyle w:val="Normal"/>
        <w:rPr>
          <w:b w:val="false"/>
          <w:caps w:val="false"/>
          <w:smallCaps w:val="false"/>
          <w:spacing w:val="100"/>
          <w:sz w:val="24"/>
        </w:rPr>
      </w:pPr>
      <w:r>
        <w:rPr>
          <w:b w:val="false"/>
          <w:caps w:val="false"/>
          <w:smallCaps w:val="false"/>
          <w:spacing w:val="100"/>
          <w:sz w:val="24"/>
        </w:rPr>
      </w:r>
    </w:p>
    <w:p>
      <w:pPr>
        <w:pStyle w:val="Normal"/>
        <w:rPr>
          <w:b w:val="false"/>
          <w:caps w:val="false"/>
          <w:smallCaps w:val="false"/>
          <w:sz w:val="24"/>
        </w:rPr>
      </w:pPr>
      <w:r>
        <w:rPr>
          <w:b w:val="false"/>
          <w:caps w:val="false"/>
          <w:smallCaps w:val="false"/>
          <w:sz w:val="24"/>
        </w:rPr>
      </w:r>
    </w:p>
    <w:p>
      <w:pPr>
        <w:pStyle w:val="Heading6"/>
        <w:rPr/>
      </w:pPr>
      <w:r>
        <w:rPr/>
        <w:t xml:space="preserve">To:  </w:t>
        <w:tab/>
        <w:tab/>
        <w:t>ISDA Board of Directors</w:t>
      </w:r>
    </w:p>
    <w:p>
      <w:pPr>
        <w:pStyle w:val="Normal"/>
        <w:ind w:start="1440" w:end="0"/>
        <w:rPr>
          <w:b w:val="false"/>
          <w:caps w:val="false"/>
          <w:smallCaps w:val="false"/>
          <w:sz w:val="24"/>
        </w:rPr>
      </w:pPr>
      <w:r>
        <w:rPr>
          <w:b w:val="false"/>
          <w:caps w:val="false"/>
          <w:smallCaps w:val="false"/>
          <w:sz w:val="24"/>
        </w:rPr>
      </w:r>
    </w:p>
    <w:p>
      <w:pPr>
        <w:pStyle w:val="Normal"/>
        <w:ind w:start="1440" w:end="0"/>
        <w:rPr>
          <w:b w:val="false"/>
          <w:caps w:val="false"/>
          <w:smallCaps w:val="false"/>
          <w:sz w:val="24"/>
        </w:rPr>
      </w:pPr>
      <w:r>
        <w:rPr>
          <w:b w:val="false"/>
          <w:caps w:val="false"/>
          <w:smallCaps w:val="false"/>
          <w:sz w:val="24"/>
        </w:rPr>
        <w:t xml:space="preserve">From:  </w:t>
        <w:tab/>
        <w:tab/>
        <w:t>Robert Pickel</w:t>
      </w:r>
    </w:p>
    <w:p>
      <w:pPr>
        <w:pStyle w:val="Normal"/>
        <w:ind w:start="1440" w:end="0"/>
        <w:rPr>
          <w:b w:val="false"/>
          <w:caps w:val="false"/>
          <w:smallCaps w:val="false"/>
          <w:sz w:val="24"/>
        </w:rPr>
      </w:pPr>
      <w:r>
        <w:rPr>
          <w:b w:val="false"/>
          <w:caps w:val="false"/>
          <w:smallCaps w:val="false"/>
          <w:sz w:val="24"/>
        </w:rPr>
      </w:r>
    </w:p>
    <w:p>
      <w:pPr>
        <w:pStyle w:val="Normal"/>
        <w:ind w:start="1440" w:end="0"/>
        <w:rPr>
          <w:b w:val="false"/>
          <w:caps w:val="false"/>
          <w:smallCaps w:val="false"/>
          <w:sz w:val="24"/>
        </w:rPr>
      </w:pPr>
      <w:r>
        <w:rPr>
          <w:b w:val="false"/>
          <w:caps w:val="false"/>
          <w:smallCaps w:val="false"/>
          <w:sz w:val="24"/>
        </w:rPr>
        <w:t xml:space="preserve">Re:  </w:t>
        <w:tab/>
        <w:tab/>
        <w:t>Single Agreement for Financial Transactions</w:t>
      </w:r>
    </w:p>
    <w:p>
      <w:pPr>
        <w:pStyle w:val="Normal"/>
        <w:ind w:start="1440" w:end="0"/>
        <w:rPr>
          <w:b w:val="false"/>
          <w:caps w:val="false"/>
          <w:smallCaps w:val="false"/>
          <w:sz w:val="24"/>
        </w:rPr>
      </w:pPr>
      <w:r>
        <w:rPr>
          <w:b w:val="false"/>
          <w:caps w:val="false"/>
          <w:smallCaps w:val="false"/>
          <w:sz w:val="24"/>
        </w:rPr>
      </w:r>
    </w:p>
    <w:p>
      <w:pPr>
        <w:pStyle w:val="Heading1"/>
        <w:ind w:hanging="0" w:start="1440" w:end="0"/>
        <w:jc w:val="start"/>
        <w:rPr>
          <w:b w:val="false"/>
          <w:sz w:val="24"/>
        </w:rPr>
      </w:pPr>
      <w:r>
        <w:rPr>
          <w:b w:val="false"/>
          <w:sz w:val="24"/>
        </w:rPr>
        <w:t xml:space="preserve">Date: </w:t>
        <w:tab/>
        <w:tab/>
        <w:t>September 6, 2000</w:t>
      </w:r>
    </w:p>
    <w:p>
      <w:pPr>
        <w:pStyle w:val="Normal"/>
        <w:tabs>
          <w:tab w:val="clear" w:pos="720"/>
          <w:tab w:val="left" w:pos="4230" w:leader="none"/>
        </w:tabs>
        <w:jc w:val="center"/>
        <w:rPr>
          <w:caps w:val="false"/>
          <w:smallCaps w:val="false"/>
          <w:sz w:val="24"/>
        </w:rPr>
      </w:pPr>
      <w:r>
        <w:rPr>
          <w:caps w:val="false"/>
          <w:smallCaps w:val="false"/>
          <w:sz w:val="24"/>
        </w:rPr>
        <w:t>________________________________________________________________________</w:t>
      </w:r>
    </w:p>
    <w:p>
      <w:pPr>
        <w:pStyle w:val="Normal"/>
        <w:rPr>
          <w:b w:val="false"/>
          <w:caps w:val="false"/>
          <w:smallCaps w:val="false"/>
          <w:sz w:val="24"/>
        </w:rPr>
      </w:pPr>
      <w:r>
        <w:rPr>
          <w:b w:val="false"/>
          <w:caps w:val="false"/>
          <w:smallCaps w:val="false"/>
          <w:sz w:val="24"/>
        </w:rPr>
      </w:r>
    </w:p>
    <w:p>
      <w:pPr>
        <w:pStyle w:val="Normal"/>
        <w:jc w:val="both"/>
        <w:rPr>
          <w:b w:val="false"/>
          <w:caps w:val="false"/>
          <w:smallCaps w:val="false"/>
          <w:sz w:val="24"/>
        </w:rPr>
      </w:pPr>
      <w:r>
        <w:rPr>
          <w:b w:val="false"/>
          <w:caps w:val="false"/>
          <w:smallCaps w:val="false"/>
          <w:sz w:val="24"/>
        </w:rPr>
        <w:t>A single agreement for financial transactions (i.e., one netting agreement to cover swaps, derivatives, foreign exchange, repurchase agreements and securities lending) can be an effective means of achieving cross-product netting. In order to assist the Board in its consideration of pursuing the goal of a single master agreement, this memorandum reviews the current state of industry master agreements, approaches to cross-product netting, netting requirements for financial transactions and possible obstacles to a single master agreement.</w:t>
      </w:r>
    </w:p>
    <w:p>
      <w:pPr>
        <w:pStyle w:val="Normal"/>
        <w:jc w:val="both"/>
        <w:rPr>
          <w:b w:val="false"/>
          <w:caps w:val="false"/>
          <w:smallCaps w:val="false"/>
          <w:sz w:val="24"/>
        </w:rPr>
      </w:pPr>
      <w:r>
        <w:rPr>
          <w:b w:val="false"/>
          <w:caps w:val="false"/>
          <w:smallCaps w:val="false"/>
          <w:sz w:val="24"/>
        </w:rPr>
      </w:r>
    </w:p>
    <w:p>
      <w:pPr>
        <w:pStyle w:val="Heading1"/>
        <w:ind w:hanging="0" w:start="0"/>
        <w:jc w:val="both"/>
        <w:rPr>
          <w:sz w:val="24"/>
          <w:u w:val="single"/>
        </w:rPr>
      </w:pPr>
      <w:r>
        <w:rPr>
          <w:sz w:val="24"/>
          <w:u w:val="single"/>
        </w:rPr>
        <w:t>Current Status of Master Agreements</w:t>
      </w:r>
    </w:p>
    <w:p>
      <w:pPr>
        <w:pStyle w:val="Normal"/>
        <w:jc w:val="both"/>
        <w:rPr>
          <w:b w:val="false"/>
          <w:caps w:val="false"/>
          <w:smallCaps w:val="false"/>
          <w:sz w:val="24"/>
          <w:u w:val="single"/>
        </w:rPr>
      </w:pPr>
      <w:r>
        <w:rPr>
          <w:b w:val="false"/>
          <w:caps w:val="false"/>
          <w:smallCaps w:val="false"/>
          <w:sz w:val="24"/>
          <w:u w:val="single"/>
        </w:rPr>
      </w:r>
    </w:p>
    <w:p>
      <w:pPr>
        <w:pStyle w:val="Normal"/>
        <w:jc w:val="both"/>
        <w:rPr>
          <w:b w:val="false"/>
          <w:caps w:val="false"/>
          <w:smallCaps w:val="false"/>
          <w:sz w:val="24"/>
        </w:rPr>
      </w:pPr>
      <w:r>
        <w:rPr>
          <w:b w:val="false"/>
          <w:caps w:val="false"/>
          <w:smallCaps w:val="false"/>
          <w:sz w:val="24"/>
        </w:rPr>
        <w:t>Many industry master agreements currently in use take the approach of documenting a specific type of transaction. Accordingly, the terms of the master agreements are very much tailored to the particular product. Among the agreements that take this approach are the following:</w:t>
      </w:r>
    </w:p>
    <w:p>
      <w:pPr>
        <w:pStyle w:val="Normal"/>
        <w:jc w:val="both"/>
        <w:rPr>
          <w:b w:val="false"/>
          <w:caps w:val="false"/>
          <w:smallCaps w:val="false"/>
          <w:sz w:val="24"/>
        </w:rPr>
      </w:pPr>
      <w:r>
        <w:rPr>
          <w:b w:val="false"/>
          <w:caps w:val="false"/>
          <w:smallCaps w:val="false"/>
          <w:sz w:val="24"/>
        </w:rPr>
      </w:r>
    </w:p>
    <w:p>
      <w:pPr>
        <w:sectPr>
          <w:headerReference w:type="default" r:id="rId2"/>
          <w:footerReference w:type="default" r:id="rId3"/>
          <w:type w:val="nextPage"/>
          <w:pgSz w:w="12240" w:h="15840"/>
          <w:pgMar w:left="1440" w:right="1440" w:gutter="0" w:header="720" w:top="776" w:footer="720" w:bottom="776"/>
          <w:pgNumType w:fmt="decimal"/>
          <w:formProt w:val="false"/>
          <w:textDirection w:val="lrTb"/>
          <w:docGrid w:type="default" w:linePitch="360" w:charSpace="0"/>
        </w:sectPr>
        <w:pStyle w:val="Normal"/>
        <w:numPr>
          <w:ilvl w:val="0"/>
          <w:numId w:val="9"/>
        </w:numPr>
        <w:ind w:hanging="360" w:start="1080" w:end="0"/>
        <w:jc w:val="both"/>
        <w:rPr>
          <w:b w:val="false"/>
          <w:caps w:val="false"/>
          <w:smallCaps w:val="false"/>
          <w:sz w:val="24"/>
        </w:rPr>
      </w:pPr>
      <w:r>
        <w:rPr>
          <w:b w:val="false"/>
          <w:caps w:val="false"/>
          <w:smallCaps w:val="false"/>
          <w:sz w:val="24"/>
          <w:u w:val="single"/>
        </w:rPr>
        <w:t>Repos</w:t>
      </w:r>
      <w:r>
        <w:rPr>
          <w:b w:val="false"/>
          <w:caps w:val="false"/>
          <w:smallCaps w:val="false"/>
          <w:sz w:val="24"/>
        </w:rPr>
        <w:t>: The Master Repurchase Agreement published by the Bond Market Association (“BMA”) and the Global Master Repurchase Agreement published by the BMA and the International Securities Market Association are the principal documents used for repos;</w:t>
      </w:r>
    </w:p>
    <w:p>
      <w:pPr>
        <w:pStyle w:val="Normal"/>
        <w:jc w:val="both"/>
        <w:rPr>
          <w:b w:val="false"/>
          <w:caps w:val="false"/>
          <w:smallCaps w:val="false"/>
          <w:sz w:val="24"/>
        </w:rPr>
      </w:pPr>
      <w:r>
        <w:rPr>
          <w:b w:val="false"/>
          <w:caps w:val="false"/>
          <w:smallCaps w:val="false"/>
          <w:sz w:val="24"/>
        </w:rPr>
      </w:r>
    </w:p>
    <w:p>
      <w:pPr>
        <w:pStyle w:val="Normal"/>
        <w:numPr>
          <w:ilvl w:val="0"/>
          <w:numId w:val="7"/>
        </w:numPr>
        <w:ind w:hanging="360" w:start="1080" w:end="0"/>
        <w:jc w:val="both"/>
        <w:rPr>
          <w:b w:val="false"/>
          <w:caps w:val="false"/>
          <w:smallCaps w:val="false"/>
          <w:sz w:val="24"/>
        </w:rPr>
      </w:pPr>
      <w:r>
        <w:rPr>
          <w:b w:val="false"/>
          <w:caps w:val="false"/>
          <w:smallCaps w:val="false"/>
          <w:sz w:val="24"/>
          <w:u w:val="single"/>
        </w:rPr>
        <w:t>Foreign Exchange</w:t>
      </w:r>
      <w:r>
        <w:rPr>
          <w:b w:val="false"/>
          <w:caps w:val="false"/>
          <w:smallCaps w:val="false"/>
          <w:sz w:val="24"/>
        </w:rPr>
        <w:t>: The documents published by the Foreign Exchange Committee of the New York Fed have historically been used for foreign exchange, although banks have increasingly used the ISDA Master Agreement to document these transactions and achieve greater benefits of netting;</w:t>
      </w:r>
    </w:p>
    <w:p>
      <w:pPr>
        <w:pStyle w:val="Normal"/>
        <w:jc w:val="both"/>
        <w:rPr>
          <w:b w:val="false"/>
          <w:caps w:val="false"/>
          <w:smallCaps w:val="false"/>
          <w:sz w:val="24"/>
        </w:rPr>
      </w:pPr>
      <w:r>
        <w:rPr>
          <w:b w:val="false"/>
          <w:caps w:val="false"/>
          <w:smallCaps w:val="false"/>
          <w:sz w:val="24"/>
        </w:rPr>
      </w:r>
    </w:p>
    <w:p>
      <w:pPr>
        <w:pStyle w:val="Normal"/>
        <w:numPr>
          <w:ilvl w:val="0"/>
          <w:numId w:val="6"/>
        </w:numPr>
        <w:ind w:hanging="360" w:start="1080" w:end="0"/>
        <w:jc w:val="both"/>
        <w:rPr>
          <w:b w:val="false"/>
          <w:caps w:val="false"/>
          <w:smallCaps w:val="false"/>
          <w:sz w:val="24"/>
        </w:rPr>
      </w:pPr>
      <w:r>
        <w:rPr>
          <w:b w:val="false"/>
          <w:caps w:val="false"/>
          <w:smallCaps w:val="false"/>
          <w:sz w:val="24"/>
          <w:u w:val="single"/>
        </w:rPr>
        <w:t>Securities Lending</w:t>
      </w:r>
      <w:r>
        <w:rPr>
          <w:b w:val="false"/>
          <w:caps w:val="false"/>
          <w:smallCaps w:val="false"/>
          <w:sz w:val="24"/>
        </w:rPr>
        <w:t>: The Overseas Securities Lender’s Agreement published by the International Securities Lenders Association is used to document securities lending arrangements in the international market.</w:t>
      </w:r>
    </w:p>
    <w:p>
      <w:pPr>
        <w:pStyle w:val="Normal"/>
        <w:jc w:val="both"/>
        <w:rPr>
          <w:b w:val="false"/>
          <w:caps w:val="false"/>
          <w:smallCaps w:val="false"/>
          <w:sz w:val="24"/>
          <w:u w:val="single"/>
        </w:rPr>
      </w:pPr>
      <w:r>
        <w:rPr>
          <w:b w:val="false"/>
          <w:caps w:val="false"/>
          <w:smallCaps w:val="false"/>
          <w:sz w:val="24"/>
          <w:u w:val="single"/>
        </w:rPr>
      </w:r>
    </w:p>
    <w:p>
      <w:pPr>
        <w:pStyle w:val="BodyTextIndent"/>
        <w:jc w:val="both"/>
        <w:rPr/>
      </w:pPr>
      <w:r>
        <w:rPr/>
        <w:t>In most cases the sponsoring organizations for these documents have undertaken to obtain legal opinions on their enforceability, although the number of opinions are not as great as the ISDA opinion effort.</w:t>
      </w:r>
    </w:p>
    <w:p>
      <w:pPr>
        <w:pStyle w:val="Normal"/>
        <w:jc w:val="both"/>
        <w:rPr>
          <w:b w:val="false"/>
          <w:caps w:val="false"/>
          <w:smallCaps w:val="false"/>
          <w:sz w:val="24"/>
          <w:u w:val="single"/>
        </w:rPr>
      </w:pPr>
      <w:r>
        <w:rPr>
          <w:b w:val="false"/>
          <w:caps w:val="false"/>
          <w:smallCaps w:val="false"/>
          <w:sz w:val="24"/>
          <w:u w:val="single"/>
        </w:rPr>
      </w:r>
    </w:p>
    <w:p>
      <w:pPr>
        <w:pStyle w:val="Normal"/>
        <w:jc w:val="both"/>
        <w:rPr>
          <w:b w:val="false"/>
          <w:caps w:val="false"/>
          <w:smallCaps w:val="false"/>
          <w:sz w:val="24"/>
        </w:rPr>
      </w:pPr>
      <w:r>
        <w:rPr>
          <w:b w:val="false"/>
          <w:caps w:val="false"/>
          <w:smallCaps w:val="false"/>
          <w:sz w:val="24"/>
        </w:rPr>
        <w:t>The ISDA Master Agreement is not, by its terms, tied to a particular product area. Given its history and focus, ISDA has concentrated on providing documentation in the form of definitions booklets for different derivatives product areas (e.g., interest rates and currencies, commodities, equities and credit). Nothing in the Master Agreement, however, refers to any of these product areas or limits the potential application of the Master Agreement. The relevant definitions booklet (e.g., the 1999 ISDA Credit Derivatives Definitions) is included in the confirmation of a specific transaction—not the Master Agreement—thereby permitting a wide range of transactions to be done under one master agreement.</w:t>
      </w:r>
    </w:p>
    <w:p>
      <w:pPr>
        <w:pStyle w:val="Normal"/>
        <w:ind w:start="720" w:end="0"/>
        <w:jc w:val="both"/>
        <w:rPr>
          <w:b w:val="false"/>
          <w:caps w:val="false"/>
          <w:smallCaps w:val="false"/>
          <w:sz w:val="24"/>
        </w:rPr>
      </w:pPr>
      <w:r>
        <w:rPr>
          <w:b w:val="false"/>
          <w:caps w:val="false"/>
          <w:smallCaps w:val="false"/>
          <w:sz w:val="24"/>
        </w:rPr>
      </w:r>
    </w:p>
    <w:p>
      <w:pPr>
        <w:pStyle w:val="Normal"/>
        <w:jc w:val="both"/>
        <w:rPr>
          <w:b w:val="false"/>
          <w:caps w:val="false"/>
          <w:smallCaps w:val="false"/>
          <w:sz w:val="24"/>
        </w:rPr>
      </w:pPr>
      <w:r>
        <w:rPr>
          <w:b w:val="false"/>
          <w:caps w:val="false"/>
          <w:smallCaps w:val="false"/>
          <w:sz w:val="24"/>
        </w:rPr>
        <w:t>Until recently, the ISDA Master Agreement was the only document that took an approach that does not tie itself to a particular product area. The European Master Agreement, developed by a number of European banks and sponsored by the European Banking Federation, has adopted this single agreement approach, starting initially with repos and securities lending with plans to extend to derivatives. Over the summer, the EBF approached ISDA to seek its cooperation on a derivatives annex to the EMA. A copy of our correspondence with the EBF is attached to this memorandum. As of this date, a meeting with the EBF’s working group has not been scheduled.</w:t>
      </w:r>
    </w:p>
    <w:p>
      <w:pPr>
        <w:pStyle w:val="Normal"/>
        <w:ind w:start="720" w:end="0"/>
        <w:jc w:val="both"/>
        <w:rPr>
          <w:b w:val="false"/>
          <w:caps w:val="false"/>
          <w:smallCaps w:val="false"/>
          <w:sz w:val="24"/>
        </w:rPr>
      </w:pPr>
      <w:r>
        <w:rPr>
          <w:b w:val="false"/>
          <w:caps w:val="false"/>
          <w:smallCaps w:val="false"/>
          <w:sz w:val="24"/>
        </w:rPr>
      </w:r>
    </w:p>
    <w:p>
      <w:pPr>
        <w:pStyle w:val="Normal"/>
        <w:jc w:val="both"/>
        <w:rPr/>
      </w:pPr>
      <w:r>
        <w:rPr>
          <w:b w:val="false"/>
          <w:caps w:val="false"/>
          <w:smallCaps w:val="false"/>
          <w:sz w:val="24"/>
        </w:rPr>
        <w:t>The development of a master master for these various agreements (for example, the BMA’s cross product master agreement) was perhaps a natural extension of the balkanization of master agreements. With so many different documents in existence, it was inevitable that an effort would be undertaken to pull them together in some way. The master master is one such approach, while the single agreement is another.</w:t>
      </w:r>
      <w:r>
        <w:rPr>
          <w:rStyle w:val="FootnoteCharacters"/>
          <w:rStyle w:val="FootnoteReference"/>
          <w:rFonts w:eastAsia="Symbol" w:cs="Symbol" w:ascii="Symbol" w:hAnsi="Symbol"/>
          <w:b/>
          <w:caps/>
          <w:position w:val="0"/>
          <w:sz w:val="24"/>
          <w:sz w:val="24"/>
          <w:vertAlign w:val="baseline"/>
        </w:rPr>
        <w:footnoteReference w:customMarkFollows="1" w:id="2"/>
        <w:t></w:t>
      </w:r>
      <w:r>
        <w:rPr>
          <w:b w:val="false"/>
          <w:caps w:val="false"/>
          <w:smallCaps w:val="false"/>
          <w:sz w:val="24"/>
        </w:rPr>
        <w:t xml:space="preserve"> These two types of agreements may be treated differently depending on the netting requirements in relevant jurisdictions.</w:t>
      </w:r>
      <w:r>
        <w:br w:type="page"/>
      </w:r>
    </w:p>
    <w:p>
      <w:pPr>
        <w:pStyle w:val="Normal"/>
        <w:jc w:val="both"/>
        <w:rPr>
          <w:b w:val="false"/>
          <w:caps w:val="false"/>
          <w:smallCaps w:val="false"/>
          <w:sz w:val="24"/>
        </w:rPr>
      </w:pPr>
      <w:r>
        <w:rPr>
          <w:b w:val="false"/>
          <w:caps w:val="false"/>
          <w:smallCaps w:val="false"/>
          <w:sz w:val="24"/>
        </w:rPr>
      </w:r>
    </w:p>
    <w:p>
      <w:pPr>
        <w:pStyle w:val="Heading1"/>
        <w:ind w:hanging="0" w:start="0"/>
        <w:jc w:val="both"/>
        <w:rPr>
          <w:sz w:val="24"/>
          <w:u w:val="single"/>
        </w:rPr>
      </w:pPr>
      <w:r>
        <w:rPr>
          <w:sz w:val="24"/>
          <w:u w:val="single"/>
        </w:rPr>
        <w:t>Netting Requirements</w:t>
      </w:r>
    </w:p>
    <w:p>
      <w:pPr>
        <w:pStyle w:val="Normal"/>
        <w:jc w:val="both"/>
        <w:rPr>
          <w:b w:val="false"/>
          <w:caps w:val="false"/>
          <w:smallCaps w:val="false"/>
          <w:sz w:val="24"/>
          <w:u w:val="single"/>
        </w:rPr>
      </w:pPr>
      <w:r>
        <w:rPr>
          <w:b w:val="false"/>
          <w:caps w:val="false"/>
          <w:smallCaps w:val="false"/>
          <w:sz w:val="24"/>
          <w:u w:val="single"/>
        </w:rPr>
      </w:r>
    </w:p>
    <w:p>
      <w:pPr>
        <w:pStyle w:val="Normal"/>
        <w:jc w:val="both"/>
        <w:rPr>
          <w:b w:val="false"/>
          <w:caps w:val="false"/>
          <w:smallCaps w:val="false"/>
          <w:sz w:val="24"/>
        </w:rPr>
      </w:pPr>
      <w:r>
        <w:rPr>
          <w:b w:val="false"/>
          <w:caps w:val="false"/>
          <w:smallCaps w:val="false"/>
          <w:sz w:val="24"/>
        </w:rPr>
        <w:t>The requirements of netting vary from jurisdiction to jurisdiction, as indicated in the legal opinions obtained to date by ISDA. While care must be taken not to overgeneralize, the opinions fall into two categories:</w:t>
      </w:r>
    </w:p>
    <w:p>
      <w:pPr>
        <w:pStyle w:val="Normal"/>
        <w:jc w:val="both"/>
        <w:rPr>
          <w:b w:val="false"/>
          <w:caps w:val="false"/>
          <w:smallCaps w:val="false"/>
          <w:sz w:val="24"/>
        </w:rPr>
      </w:pPr>
      <w:r>
        <w:rPr>
          <w:b w:val="false"/>
          <w:caps w:val="false"/>
          <w:smallCaps w:val="false"/>
          <w:sz w:val="24"/>
        </w:rPr>
      </w:r>
    </w:p>
    <w:p>
      <w:pPr>
        <w:pStyle w:val="Normal"/>
        <w:numPr>
          <w:ilvl w:val="0"/>
          <w:numId w:val="5"/>
        </w:numPr>
        <w:ind w:hanging="360" w:start="1080" w:end="0"/>
        <w:jc w:val="both"/>
        <w:rPr>
          <w:b w:val="false"/>
          <w:caps w:val="false"/>
          <w:smallCaps w:val="false"/>
          <w:sz w:val="24"/>
        </w:rPr>
      </w:pPr>
      <w:r>
        <w:rPr>
          <w:b w:val="false"/>
          <w:caps w:val="false"/>
          <w:smallCaps w:val="false"/>
          <w:sz w:val="24"/>
          <w:u w:val="single"/>
        </w:rPr>
        <w:t>Set-off jurisdictions</w:t>
      </w:r>
      <w:r>
        <w:rPr>
          <w:b w:val="false"/>
          <w:caps w:val="false"/>
          <w:smallCaps w:val="false"/>
          <w:sz w:val="24"/>
        </w:rPr>
        <w:t>: Jurisdictions with strong set-off rights, e.g. England, generally enforce broad categories of set-off rights, whether achieved in a netting agreement or pursuant to statutory or common law, and do not look to the nature of the underlying transaction to which the set-off applies. Jurisdictions with strong set-off rights are typically more pro-creditor.</w:t>
      </w:r>
    </w:p>
    <w:p>
      <w:pPr>
        <w:pStyle w:val="Normal"/>
        <w:jc w:val="both"/>
        <w:rPr>
          <w:b w:val="false"/>
          <w:caps w:val="false"/>
          <w:smallCaps w:val="false"/>
          <w:sz w:val="24"/>
        </w:rPr>
      </w:pPr>
      <w:r>
        <w:rPr>
          <w:b w:val="false"/>
          <w:caps w:val="false"/>
          <w:smallCaps w:val="false"/>
          <w:sz w:val="24"/>
        </w:rPr>
      </w:r>
    </w:p>
    <w:p>
      <w:pPr>
        <w:pStyle w:val="Normal"/>
        <w:numPr>
          <w:ilvl w:val="0"/>
          <w:numId w:val="3"/>
        </w:numPr>
        <w:ind w:hanging="360" w:start="1080" w:end="0"/>
        <w:jc w:val="both"/>
        <w:rPr>
          <w:b w:val="false"/>
          <w:caps w:val="false"/>
          <w:smallCaps w:val="false"/>
          <w:sz w:val="24"/>
          <w:u w:val="single"/>
        </w:rPr>
      </w:pPr>
      <w:r>
        <w:rPr>
          <w:b w:val="false"/>
          <w:caps w:val="false"/>
          <w:smallCaps w:val="false"/>
          <w:sz w:val="24"/>
          <w:u w:val="single"/>
        </w:rPr>
        <w:t>Netting jurisdictions</w:t>
      </w:r>
      <w:r>
        <w:rPr>
          <w:b w:val="false"/>
          <w:caps w:val="false"/>
          <w:smallCaps w:val="false"/>
          <w:sz w:val="24"/>
        </w:rPr>
        <w:t>: A number of jurisdictions have taken the path of adopting legislation that specifically recognizes the enforceability of netting in the event of insolvency of a party organized in that jurisdiction. The coverage of this legislation varies from jurisdiction to jurisdiction depending upon the nature of the transactions governed by the netting agreement, but central to the analysis generally is that netting of transactions must be undertaken pursuant to the terms of a single netting agreement.</w:t>
      </w:r>
    </w:p>
    <w:p>
      <w:pPr>
        <w:pStyle w:val="Normal"/>
        <w:jc w:val="both"/>
        <w:rPr>
          <w:b w:val="false"/>
          <w:caps w:val="false"/>
          <w:smallCaps w:val="false"/>
          <w:sz w:val="24"/>
          <w:u w:val="single"/>
        </w:rPr>
      </w:pPr>
      <w:r>
        <w:rPr>
          <w:b w:val="false"/>
          <w:caps w:val="false"/>
          <w:smallCaps w:val="false"/>
          <w:sz w:val="24"/>
          <w:u w:val="single"/>
        </w:rPr>
      </w:r>
    </w:p>
    <w:p>
      <w:pPr>
        <w:pStyle w:val="Normal"/>
        <w:jc w:val="both"/>
        <w:rPr>
          <w:b w:val="false"/>
          <w:caps w:val="false"/>
          <w:smallCaps w:val="false"/>
          <w:sz w:val="24"/>
        </w:rPr>
      </w:pPr>
      <w:r>
        <w:rPr>
          <w:b w:val="false"/>
          <w:caps w:val="false"/>
          <w:smallCaps w:val="false"/>
          <w:sz w:val="24"/>
        </w:rPr>
        <w:t>Jurisdictions with insolvency laws that are favorable to debtors typically have weak set-off rights and have not enacted netting legislation. In these jurisdictions efforts are best devoted to enacting netting legislation for financial contracts instead of seeking to change the more generally applicable rights of set-off. Once netting legislation has been adopted in a jurisdiction, ISDA will typically commission an opinion.</w:t>
      </w:r>
    </w:p>
    <w:p>
      <w:pPr>
        <w:pStyle w:val="Normal"/>
        <w:jc w:val="both"/>
        <w:rPr>
          <w:b w:val="false"/>
          <w:caps w:val="false"/>
          <w:smallCaps w:val="false"/>
          <w:sz w:val="24"/>
        </w:rPr>
      </w:pPr>
      <w:r>
        <w:rPr>
          <w:b w:val="false"/>
          <w:caps w:val="false"/>
          <w:smallCaps w:val="false"/>
          <w:sz w:val="24"/>
        </w:rPr>
      </w:r>
    </w:p>
    <w:p>
      <w:pPr>
        <w:pStyle w:val="Normal"/>
        <w:jc w:val="both"/>
        <w:rPr>
          <w:b w:val="false"/>
          <w:caps w:val="false"/>
          <w:smallCaps w:val="false"/>
          <w:sz w:val="24"/>
        </w:rPr>
      </w:pPr>
      <w:r>
        <w:rPr>
          <w:b w:val="false"/>
          <w:caps w:val="false"/>
          <w:smallCaps w:val="false"/>
          <w:sz w:val="24"/>
        </w:rPr>
        <w:t>In set-off jurisdictions, the master master approach is most likely to be enforceable since a master master is, in essence, a set-off agreement. The extent to which a master master provides more protection than under existing set-off law will depend on the specific terms of the master master. In netting jurisdictions, a master master approach may be problematic since the netting undertaken at the master master level is little more than set-off of amounts determined under other master agreements. Where the existence of a single netting agreement is essential to achieve cross-product netting, the enforceability of the master master approach may be open to question.</w:t>
      </w:r>
    </w:p>
    <w:p>
      <w:pPr>
        <w:pStyle w:val="Normal"/>
        <w:jc w:val="both"/>
        <w:rPr>
          <w:b w:val="false"/>
          <w:caps w:val="false"/>
          <w:smallCaps w:val="false"/>
          <w:sz w:val="24"/>
        </w:rPr>
      </w:pPr>
      <w:r>
        <w:rPr>
          <w:b w:val="false"/>
          <w:caps w:val="false"/>
          <w:smallCaps w:val="false"/>
          <w:sz w:val="24"/>
        </w:rPr>
      </w:r>
    </w:p>
    <w:p>
      <w:pPr>
        <w:pStyle w:val="Normal"/>
        <w:jc w:val="both"/>
        <w:rPr>
          <w:b w:val="false"/>
          <w:caps w:val="false"/>
          <w:smallCaps w:val="false"/>
          <w:sz w:val="24"/>
        </w:rPr>
      </w:pPr>
      <w:r>
        <w:rPr>
          <w:b w:val="false"/>
          <w:caps w:val="false"/>
          <w:smallCaps w:val="false"/>
          <w:sz w:val="24"/>
        </w:rPr>
        <w:t>The single agreement approach is likely to be enforceable in set-off jurisdictions because the netting mechanisms of the single agreement, while distinct from set-off, will be considered analogous to set-off. The advantages of a single agreement approach will be most prominent in netting jurisdictions, where the netting process, in which only a single net sum owing between the parties is produced pursuant to a netting agreement, is critical for enforceability. This single net sum stands in contrast to the series of separate amounts owing that are central to set-off.</w:t>
      </w:r>
    </w:p>
    <w:p>
      <w:pPr>
        <w:pStyle w:val="Normal"/>
        <w:jc w:val="both"/>
        <w:rPr>
          <w:b w:val="false"/>
          <w:caps w:val="false"/>
          <w:smallCaps w:val="false"/>
          <w:sz w:val="24"/>
        </w:rPr>
      </w:pPr>
      <w:r>
        <w:rPr>
          <w:b w:val="false"/>
          <w:caps w:val="false"/>
          <w:smallCaps w:val="false"/>
          <w:sz w:val="24"/>
        </w:rPr>
      </w:r>
    </w:p>
    <w:p>
      <w:pPr>
        <w:pStyle w:val="Normal"/>
        <w:jc w:val="both"/>
        <w:rPr>
          <w:b w:val="false"/>
          <w:caps w:val="false"/>
          <w:smallCaps w:val="false"/>
          <w:sz w:val="24"/>
        </w:rPr>
      </w:pPr>
      <w:r>
        <w:rPr>
          <w:b w:val="false"/>
          <w:caps w:val="false"/>
          <w:smallCaps w:val="false"/>
          <w:sz w:val="24"/>
        </w:rPr>
        <w:t>The principal issue in netting jurisdictions with respect to a single agreement approach will be whether the types of transactions documented under the single agreement can be netted pursuant to existing legislation. Netting legislation in many jurisdictions takes a “laundry list” approach to the transactions that can be netted. If the transaction is on the list, it can be netted; if it is not, it cannot be netted. The United States is perhaps the principal example of this type of approach. Proposed legislation, if adopted, would greatly expand the list and would provide flexibility for transaction types developed in the future.</w:t>
      </w:r>
    </w:p>
    <w:p>
      <w:pPr>
        <w:pStyle w:val="Normal"/>
        <w:jc w:val="both"/>
        <w:rPr>
          <w:b w:val="false"/>
          <w:caps w:val="false"/>
          <w:smallCaps w:val="false"/>
          <w:sz w:val="24"/>
        </w:rPr>
      </w:pPr>
      <w:r>
        <w:rPr>
          <w:b w:val="false"/>
          <w:caps w:val="false"/>
          <w:smallCaps w:val="false"/>
          <w:sz w:val="24"/>
        </w:rPr>
      </w:r>
    </w:p>
    <w:p>
      <w:pPr>
        <w:pStyle w:val="Normal"/>
        <w:jc w:val="both"/>
        <w:rPr>
          <w:b w:val="false"/>
          <w:caps w:val="false"/>
          <w:smallCaps w:val="false"/>
          <w:sz w:val="24"/>
        </w:rPr>
      </w:pPr>
      <w:r>
        <w:rPr>
          <w:b w:val="false"/>
          <w:caps w:val="false"/>
          <w:smallCaps w:val="false"/>
          <w:sz w:val="24"/>
        </w:rPr>
        <w:t>Other jurisdictions have adopted “laundry list” type legislation but have authorized a regulatory agency to grant relief for other types of transactions that are developed or regularly entered into after the date of the legislation. Those transactions would usually have to be documented under the same master agreement as other protected transactions.</w:t>
      </w:r>
    </w:p>
    <w:p>
      <w:pPr>
        <w:pStyle w:val="Normal"/>
        <w:jc w:val="both"/>
        <w:rPr>
          <w:b w:val="false"/>
          <w:caps w:val="false"/>
          <w:smallCaps w:val="false"/>
          <w:sz w:val="24"/>
        </w:rPr>
      </w:pPr>
      <w:r>
        <w:rPr>
          <w:b w:val="false"/>
          <w:caps w:val="false"/>
          <w:smallCaps w:val="false"/>
          <w:sz w:val="24"/>
        </w:rPr>
      </w:r>
    </w:p>
    <w:p>
      <w:pPr>
        <w:pStyle w:val="Heading1"/>
        <w:ind w:hanging="0" w:start="0"/>
        <w:jc w:val="both"/>
        <w:rPr>
          <w:sz w:val="24"/>
          <w:u w:val="single"/>
        </w:rPr>
      </w:pPr>
      <w:r>
        <w:rPr>
          <w:sz w:val="24"/>
          <w:u w:val="single"/>
        </w:rPr>
        <w:t>Obstacles to Establishing a Single Agreement</w:t>
      </w:r>
    </w:p>
    <w:p>
      <w:pPr>
        <w:pStyle w:val="Normal"/>
        <w:jc w:val="both"/>
        <w:rPr>
          <w:b w:val="false"/>
          <w:caps w:val="false"/>
          <w:smallCaps w:val="false"/>
          <w:sz w:val="24"/>
          <w:u w:val="single"/>
        </w:rPr>
      </w:pPr>
      <w:r>
        <w:rPr>
          <w:b w:val="false"/>
          <w:caps w:val="false"/>
          <w:smallCaps w:val="false"/>
          <w:sz w:val="24"/>
          <w:u w:val="single"/>
        </w:rPr>
      </w:r>
    </w:p>
    <w:p>
      <w:pPr>
        <w:pStyle w:val="Normal"/>
        <w:jc w:val="both"/>
        <w:rPr>
          <w:b w:val="false"/>
          <w:caps w:val="false"/>
          <w:smallCaps w:val="false"/>
          <w:sz w:val="24"/>
        </w:rPr>
      </w:pPr>
      <w:r>
        <w:rPr>
          <w:b w:val="false"/>
          <w:caps w:val="false"/>
          <w:smallCaps w:val="false"/>
          <w:sz w:val="24"/>
        </w:rPr>
        <w:t>Assuming any legal hurdles could be overcome, a number of obstacles exist to achieving the goal of establishing a single master agreement for a wide range of financial transactions. The obstacles could possibly arise from other areas within firms, from other sponsoring organizations, regulators and parties interested in documentation in their native tongues or governing laws.</w:t>
      </w:r>
    </w:p>
    <w:p>
      <w:pPr>
        <w:pStyle w:val="Normal"/>
        <w:jc w:val="both"/>
        <w:rPr>
          <w:b w:val="false"/>
          <w:caps w:val="false"/>
          <w:smallCaps w:val="false"/>
          <w:sz w:val="24"/>
        </w:rPr>
      </w:pPr>
      <w:r>
        <w:rPr>
          <w:b w:val="false"/>
          <w:caps w:val="false"/>
          <w:smallCaps w:val="false"/>
          <w:sz w:val="24"/>
        </w:rPr>
      </w:r>
    </w:p>
    <w:p>
      <w:pPr>
        <w:pStyle w:val="Normal"/>
        <w:ind w:start="720" w:end="0"/>
        <w:jc w:val="both"/>
        <w:rPr/>
      </w:pPr>
      <w:r>
        <w:rPr>
          <w:b w:val="false"/>
          <w:caps w:val="false"/>
          <w:smallCaps w:val="false"/>
          <w:sz w:val="24"/>
          <w:u w:val="single"/>
        </w:rPr>
        <w:t>Internal:</w:t>
      </w:r>
      <w:r>
        <w:rPr>
          <w:b w:val="false"/>
          <w:caps w:val="false"/>
          <w:smallCaps w:val="false"/>
          <w:sz w:val="24"/>
        </w:rPr>
        <w:t xml:space="preserve"> Areas within firms—trading, legal, documentation, operations and settlement—are often committed to or familiar with a certain way of approaching a transaction. For some, change of any sort will be resisted. For others, the case for change must be clearly demonstrated.</w:t>
      </w:r>
    </w:p>
    <w:p>
      <w:pPr>
        <w:pStyle w:val="Normal"/>
        <w:ind w:start="720" w:end="0"/>
        <w:jc w:val="both"/>
        <w:rPr>
          <w:b w:val="false"/>
          <w:caps w:val="false"/>
          <w:smallCaps w:val="false"/>
          <w:sz w:val="24"/>
          <w:u w:val="single"/>
        </w:rPr>
      </w:pPr>
      <w:r>
        <w:rPr>
          <w:b w:val="false"/>
          <w:caps w:val="false"/>
          <w:smallCaps w:val="false"/>
          <w:sz w:val="24"/>
          <w:u w:val="single"/>
        </w:rPr>
      </w:r>
    </w:p>
    <w:p>
      <w:pPr>
        <w:pStyle w:val="Normal"/>
        <w:ind w:start="720" w:end="0"/>
        <w:jc w:val="both"/>
        <w:rPr/>
      </w:pPr>
      <w:r>
        <w:rPr>
          <w:b w:val="false"/>
          <w:caps w:val="false"/>
          <w:smallCaps w:val="false"/>
          <w:sz w:val="24"/>
          <w:u w:val="single"/>
        </w:rPr>
        <w:t>Sponsoring Organizations</w:t>
      </w:r>
      <w:r>
        <w:rPr>
          <w:b w:val="false"/>
          <w:caps w:val="false"/>
          <w:smallCaps w:val="false"/>
          <w:sz w:val="24"/>
        </w:rPr>
        <w:t>: Other organizations that sponsor master agreements have a great deal of expertise in certain product areas and have invested time and resources in developing and supporting the documentation they produce. In order to gain their support for a single agreement approach, it must be demonstrated to them that their expertise will be critical to the exercise and that their past efforts will be relevant to the future of the undertaking.</w:t>
      </w:r>
    </w:p>
    <w:p>
      <w:pPr>
        <w:pStyle w:val="Normal"/>
        <w:ind w:start="720" w:end="0"/>
        <w:jc w:val="both"/>
        <w:rPr>
          <w:b w:val="false"/>
          <w:caps w:val="false"/>
          <w:smallCaps w:val="false"/>
          <w:sz w:val="24"/>
          <w:u w:val="single"/>
        </w:rPr>
      </w:pPr>
      <w:r>
        <w:rPr>
          <w:b w:val="false"/>
          <w:caps w:val="false"/>
          <w:smallCaps w:val="false"/>
          <w:sz w:val="24"/>
          <w:u w:val="single"/>
        </w:rPr>
      </w:r>
    </w:p>
    <w:p>
      <w:pPr>
        <w:pStyle w:val="Normal"/>
        <w:ind w:start="720" w:end="0"/>
        <w:jc w:val="both"/>
        <w:rPr/>
      </w:pPr>
      <w:r>
        <w:rPr>
          <w:b w:val="false"/>
          <w:caps w:val="false"/>
          <w:smallCaps w:val="false"/>
          <w:sz w:val="24"/>
          <w:u w:val="single"/>
        </w:rPr>
        <w:t>Regulators</w:t>
      </w:r>
      <w:r>
        <w:rPr>
          <w:b w:val="false"/>
          <w:caps w:val="false"/>
          <w:smallCaps w:val="false"/>
          <w:sz w:val="24"/>
        </w:rPr>
        <w:t>: While regulators are not likely to object to a mechanism that will achieve greater reduction in risk, it is worth noting that a view has been expressed that firms should be wary of putting all their eggs in one basket by consolidating risk in one agreement. This concern would seem to be best addressed by obtaining strong legal opinions on the enforceability of the single agreement approach.</w:t>
      </w:r>
    </w:p>
    <w:p>
      <w:pPr>
        <w:pStyle w:val="Normal"/>
        <w:ind w:start="720" w:end="0"/>
        <w:jc w:val="both"/>
        <w:rPr>
          <w:b w:val="false"/>
          <w:caps w:val="false"/>
          <w:smallCaps w:val="false"/>
          <w:sz w:val="24"/>
          <w:u w:val="single"/>
        </w:rPr>
      </w:pPr>
      <w:r>
        <w:rPr>
          <w:b w:val="false"/>
          <w:caps w:val="false"/>
          <w:smallCaps w:val="false"/>
          <w:sz w:val="24"/>
          <w:u w:val="single"/>
        </w:rPr>
      </w:r>
    </w:p>
    <w:p>
      <w:pPr>
        <w:pStyle w:val="Normal"/>
        <w:ind w:start="720" w:end="0"/>
        <w:jc w:val="both"/>
        <w:rPr/>
      </w:pPr>
      <w:r>
        <w:rPr>
          <w:b w:val="false"/>
          <w:caps w:val="false"/>
          <w:smallCaps w:val="false"/>
          <w:sz w:val="24"/>
          <w:u w:val="single"/>
        </w:rPr>
        <w:t>Language/Law Issue</w:t>
      </w:r>
      <w:r>
        <w:rPr>
          <w:b w:val="false"/>
          <w:caps w:val="false"/>
          <w:smallCaps w:val="false"/>
          <w:sz w:val="24"/>
        </w:rPr>
        <w:t>: Any effort to achieve a single agreement will have to come to terms with the issue of multiple languages and governing laws. The EMA proposes to be translated into several European languages and has supposedly been set up to work under several governing laws. ISDA is likely to continue to hear demands for documentation in local language and local laws, and wider adoption of its Master Agreement may, at some point, be limited by lack of a local language/law version. On the other hand, the class of potential users of a single agreement (i.e., parties who have active trading relationships across multiple product types) may be limited to larger, global institutions for which an English language agreement may be all that is needed.</w:t>
      </w:r>
    </w:p>
    <w:p>
      <w:pPr>
        <w:pStyle w:val="Normal"/>
        <w:ind w:start="720" w:end="0"/>
        <w:jc w:val="both"/>
        <w:rPr>
          <w:b w:val="false"/>
          <w:caps w:val="false"/>
          <w:smallCaps w:val="false"/>
          <w:sz w:val="24"/>
          <w:u w:val="single"/>
        </w:rPr>
      </w:pPr>
      <w:r>
        <w:rPr>
          <w:b w:val="false"/>
          <w:caps w:val="false"/>
          <w:smallCaps w:val="false"/>
          <w:sz w:val="24"/>
          <w:u w:val="single"/>
        </w:rPr>
      </w:r>
    </w:p>
    <w:p>
      <w:pPr>
        <w:pStyle w:val="Normal"/>
        <w:ind w:start="720" w:end="0"/>
        <w:jc w:val="both"/>
        <w:rPr/>
      </w:pPr>
      <w:r>
        <w:rPr>
          <w:b w:val="false"/>
          <w:caps w:val="false"/>
          <w:smallCaps w:val="false"/>
          <w:sz w:val="24"/>
          <w:u w:val="single"/>
        </w:rPr>
        <w:t>Multiple Legal Entities:</w:t>
      </w:r>
      <w:r>
        <w:rPr>
          <w:b w:val="false"/>
          <w:caps w:val="false"/>
          <w:smallCaps w:val="false"/>
          <w:sz w:val="24"/>
        </w:rPr>
        <w:t xml:space="preserve"> Finally, for some firms the benefits of either a master master approach or a single master approach will not be immediately attainable because, for regulatory, credit or other reasons, different types of business are done through different legal entities. In order to gain the benefits of either approach, the incentives that currently exist to do business in different entities must be removed. The class of firms that are most affected by this fragmentation are the U.S. broker-dealers, where the regulatory requirements of the Securities and Exchange Commission make it too costly to book certain transactions through their broker-dealers. </w:t>
      </w:r>
    </w:p>
    <w:p>
      <w:pPr>
        <w:pStyle w:val="Normal"/>
        <w:jc w:val="both"/>
        <w:rPr>
          <w:b w:val="false"/>
          <w:caps w:val="false"/>
          <w:smallCaps w:val="false"/>
          <w:sz w:val="24"/>
        </w:rPr>
      </w:pPr>
      <w:r>
        <w:rPr>
          <w:b w:val="false"/>
          <w:caps w:val="false"/>
          <w:smallCaps w:val="false"/>
          <w:sz w:val="24"/>
        </w:rPr>
      </w:r>
    </w:p>
    <w:p>
      <w:pPr>
        <w:pStyle w:val="Heading1"/>
        <w:ind w:hanging="0" w:start="0"/>
        <w:jc w:val="both"/>
        <w:rPr>
          <w:sz w:val="24"/>
          <w:u w:val="single"/>
        </w:rPr>
      </w:pPr>
      <w:r>
        <w:rPr>
          <w:sz w:val="24"/>
          <w:u w:val="single"/>
        </w:rPr>
        <w:t>Recent Developments</w:t>
      </w:r>
    </w:p>
    <w:p>
      <w:pPr>
        <w:pStyle w:val="Normal"/>
        <w:jc w:val="both"/>
        <w:rPr>
          <w:b w:val="false"/>
          <w:caps w:val="false"/>
          <w:smallCaps w:val="false"/>
          <w:sz w:val="24"/>
          <w:u w:val="single"/>
        </w:rPr>
      </w:pPr>
      <w:r>
        <w:rPr>
          <w:b w:val="false"/>
          <w:caps w:val="false"/>
          <w:smallCaps w:val="false"/>
          <w:sz w:val="24"/>
          <w:u w:val="single"/>
        </w:rPr>
      </w:r>
    </w:p>
    <w:p>
      <w:pPr>
        <w:pStyle w:val="Normal"/>
        <w:jc w:val="both"/>
        <w:rPr>
          <w:b w:val="false"/>
          <w:caps w:val="false"/>
          <w:smallCaps w:val="false"/>
          <w:sz w:val="24"/>
        </w:rPr>
      </w:pPr>
      <w:r>
        <w:rPr>
          <w:b w:val="false"/>
          <w:caps w:val="false"/>
          <w:smallCaps w:val="false"/>
          <w:sz w:val="24"/>
        </w:rPr>
        <w:t>Earlier this year Tom Russo of Lehman Brothers and Jane Carlin of Morgan Stanley formed a group called the Global Documentation Steering Committee, which builds upon the documentation recommendations made in the report of the Counterparty Risk Management Policy Group last year. The group is comprised of representatives of a number of ISDA member institutions, including two ISDA Board members and one of the chairmen of the ISDA Documentation Committee. It also includes Dan Cunningham of Cravath and me. I have attached a list of the participants to this memorandum for your reference.</w:t>
      </w:r>
    </w:p>
    <w:p>
      <w:pPr>
        <w:pStyle w:val="Normal"/>
        <w:jc w:val="both"/>
        <w:rPr>
          <w:b w:val="false"/>
          <w:caps w:val="false"/>
          <w:smallCaps w:val="false"/>
          <w:sz w:val="24"/>
        </w:rPr>
      </w:pPr>
      <w:r>
        <w:rPr>
          <w:b w:val="false"/>
          <w:caps w:val="false"/>
          <w:smallCaps w:val="false"/>
          <w:sz w:val="24"/>
        </w:rPr>
      </w:r>
    </w:p>
    <w:p>
      <w:pPr>
        <w:pStyle w:val="Normal"/>
        <w:jc w:val="both"/>
        <w:rPr>
          <w:b w:val="false"/>
          <w:caps w:val="false"/>
          <w:smallCaps w:val="false"/>
          <w:sz w:val="24"/>
        </w:rPr>
      </w:pPr>
      <w:r>
        <w:rPr>
          <w:b w:val="false"/>
          <w:caps w:val="false"/>
          <w:smallCaps w:val="false"/>
          <w:sz w:val="24"/>
        </w:rPr>
        <w:t>Recently, the Committee has turned its attention to the issue of a single agreement. At its last meeting, the Committee supported the concept of developing a single agreement and asked that I get together with Paul Saltzman, General Counsel of the U.S. Bond Market Association, which sponsors certain repo and stock lending agreements, to consider how such a goal could be pursued. I met with Saltzman (and Micah Greene, the BMA’s president) in early August. The BMA strongly indicated that they do not see support among their membership for putting all financial transactions under a single agreement. They indicated that, if such support were to be developed, it would have to some from higher levels within an institution and that this would be the best role that the Russo/Carlin Committee could serve if the goal of a single agreement were to be pursued.</w:t>
      </w:r>
    </w:p>
    <w:p>
      <w:pPr>
        <w:pStyle w:val="Normal"/>
        <w:jc w:val="both"/>
        <w:rPr>
          <w:b w:val="false"/>
          <w:caps w:val="false"/>
          <w:smallCaps w:val="false"/>
          <w:sz w:val="24"/>
        </w:rPr>
      </w:pPr>
      <w:r>
        <w:rPr>
          <w:b w:val="false"/>
          <w:caps w:val="false"/>
          <w:smallCaps w:val="false"/>
          <w:sz w:val="24"/>
        </w:rPr>
      </w:r>
    </w:p>
    <w:p>
      <w:pPr>
        <w:pStyle w:val="Normal"/>
        <w:jc w:val="both"/>
        <w:rPr>
          <w:b w:val="false"/>
          <w:caps w:val="false"/>
          <w:smallCaps w:val="false"/>
          <w:sz w:val="24"/>
        </w:rPr>
      </w:pPr>
      <w:r>
        <w:rPr>
          <w:b w:val="false"/>
          <w:caps w:val="false"/>
          <w:smallCaps w:val="false"/>
          <w:sz w:val="24"/>
        </w:rPr>
        <w:t>Ernie Patrikis has separately written to Russo and Carlin suggesting that the development of a new single agreement may not be as productive as encouraging the further expansion of the ISDA Master Agreement to cover other types of financial transactions. This would be accomplished through the publication of additional definitions booklets or annexes to cover areas such as repos and securities lending. I have attached a copy of Ernie’s letter for your reference.</w:t>
      </w:r>
    </w:p>
    <w:p>
      <w:pPr>
        <w:pStyle w:val="Normal"/>
        <w:jc w:val="both"/>
        <w:rPr>
          <w:b w:val="false"/>
          <w:caps w:val="false"/>
          <w:smallCaps w:val="false"/>
          <w:sz w:val="24"/>
        </w:rPr>
      </w:pPr>
      <w:r>
        <w:rPr>
          <w:b w:val="false"/>
          <w:caps w:val="false"/>
          <w:smallCaps w:val="false"/>
          <w:sz w:val="24"/>
        </w:rPr>
      </w:r>
    </w:p>
    <w:p>
      <w:pPr>
        <w:pStyle w:val="Heading1"/>
        <w:ind w:hanging="0" w:start="0"/>
        <w:jc w:val="both"/>
        <w:rPr>
          <w:sz w:val="24"/>
          <w:u w:val="single"/>
        </w:rPr>
      </w:pPr>
      <w:r>
        <w:rPr>
          <w:sz w:val="24"/>
          <w:u w:val="single"/>
        </w:rPr>
        <w:t>Possible Approaches for ISDA</w:t>
      </w:r>
    </w:p>
    <w:p>
      <w:pPr>
        <w:pStyle w:val="Normal"/>
        <w:jc w:val="both"/>
        <w:rPr>
          <w:b w:val="false"/>
          <w:caps w:val="false"/>
          <w:smallCaps w:val="false"/>
          <w:sz w:val="24"/>
          <w:u w:val="single"/>
        </w:rPr>
      </w:pPr>
      <w:r>
        <w:rPr>
          <w:b w:val="false"/>
          <w:caps w:val="false"/>
          <w:smallCaps w:val="false"/>
          <w:sz w:val="24"/>
          <w:u w:val="single"/>
        </w:rPr>
      </w:r>
    </w:p>
    <w:p>
      <w:pPr>
        <w:pStyle w:val="Normal"/>
        <w:jc w:val="both"/>
        <w:rPr>
          <w:b w:val="false"/>
          <w:caps w:val="false"/>
          <w:smallCaps w:val="false"/>
          <w:sz w:val="24"/>
        </w:rPr>
      </w:pPr>
      <w:r>
        <w:rPr>
          <w:b w:val="false"/>
          <w:caps w:val="false"/>
          <w:smallCaps w:val="false"/>
          <w:sz w:val="24"/>
        </w:rPr>
        <w:t>ISDA is in a strong position, given its track record of producing widely-used documentation, to encourage the development of a single master agreement for financial transactions. Its Master Agreement, in its current form, is adaptable to a wide range of transactions, but expanding its scope would require a significant effort in developing definitions booklets or annexes to be used with the agreement. Alternatively, an effort could be undertaken with other organizations to develop a new single agreement that would be used for financial transactions.</w:t>
      </w:r>
    </w:p>
    <w:p>
      <w:pPr>
        <w:pStyle w:val="Normal"/>
        <w:jc w:val="both"/>
        <w:rPr>
          <w:b w:val="false"/>
          <w:caps w:val="false"/>
          <w:smallCaps w:val="false"/>
          <w:sz w:val="24"/>
        </w:rPr>
      </w:pPr>
      <w:r>
        <w:rPr>
          <w:b w:val="false"/>
          <w:caps w:val="false"/>
          <w:smallCaps w:val="false"/>
          <w:sz w:val="24"/>
        </w:rPr>
      </w:r>
    </w:p>
    <w:p>
      <w:pPr>
        <w:pStyle w:val="Normal"/>
        <w:jc w:val="both"/>
        <w:rPr>
          <w:b w:val="false"/>
          <w:caps w:val="false"/>
          <w:smallCaps w:val="false"/>
          <w:sz w:val="24"/>
        </w:rPr>
      </w:pPr>
      <w:r>
        <w:rPr>
          <w:b w:val="false"/>
          <w:caps w:val="false"/>
          <w:smallCaps w:val="false"/>
          <w:sz w:val="24"/>
        </w:rPr>
        <w:t>The Board should consider the following possible approaches together with the most effective means of pursuing them:</w:t>
      </w:r>
    </w:p>
    <w:p>
      <w:pPr>
        <w:pStyle w:val="Normal"/>
        <w:jc w:val="both"/>
        <w:rPr>
          <w:b w:val="false"/>
          <w:caps w:val="false"/>
          <w:smallCaps w:val="false"/>
          <w:sz w:val="24"/>
        </w:rPr>
      </w:pPr>
      <w:r>
        <w:rPr>
          <w:b w:val="false"/>
          <w:caps w:val="false"/>
          <w:smallCaps w:val="false"/>
          <w:sz w:val="24"/>
        </w:rPr>
      </w:r>
    </w:p>
    <w:p>
      <w:pPr>
        <w:pStyle w:val="Normal"/>
        <w:numPr>
          <w:ilvl w:val="0"/>
          <w:numId w:val="4"/>
        </w:numPr>
        <w:jc w:val="both"/>
        <w:rPr>
          <w:b w:val="false"/>
          <w:caps w:val="false"/>
          <w:smallCaps w:val="false"/>
          <w:sz w:val="24"/>
        </w:rPr>
      </w:pPr>
      <w:r>
        <w:rPr>
          <w:b w:val="false"/>
          <w:caps w:val="false"/>
          <w:smallCaps w:val="false"/>
          <w:sz w:val="24"/>
          <w:u w:val="single"/>
        </w:rPr>
        <w:t>Expanded ISDA Master:</w:t>
      </w:r>
      <w:r>
        <w:rPr>
          <w:b w:val="false"/>
          <w:caps w:val="false"/>
          <w:smallCaps w:val="false"/>
          <w:sz w:val="24"/>
        </w:rPr>
        <w:t xml:space="preserve"> Use the existing ISDA Master Agreement as the single agreement and develop definitions booklets or annexes to address other product areas. Seek the assistance and cooperation of other sponsoring organizations wherever possible.</w:t>
      </w:r>
    </w:p>
    <w:p>
      <w:pPr>
        <w:pStyle w:val="Normal"/>
        <w:jc w:val="both"/>
        <w:rPr>
          <w:b w:val="false"/>
          <w:caps w:val="false"/>
          <w:smallCaps w:val="false"/>
          <w:sz w:val="24"/>
          <w:u w:val="single"/>
        </w:rPr>
      </w:pPr>
      <w:r>
        <w:rPr>
          <w:b w:val="false"/>
          <w:caps w:val="false"/>
          <w:smallCaps w:val="false"/>
          <w:sz w:val="24"/>
          <w:u w:val="single"/>
        </w:rPr>
      </w:r>
    </w:p>
    <w:p>
      <w:pPr>
        <w:pStyle w:val="Normal"/>
        <w:numPr>
          <w:ilvl w:val="0"/>
          <w:numId w:val="8"/>
        </w:numPr>
        <w:jc w:val="both"/>
        <w:rPr>
          <w:b w:val="false"/>
          <w:caps w:val="false"/>
          <w:smallCaps w:val="false"/>
          <w:sz w:val="24"/>
        </w:rPr>
      </w:pPr>
      <w:r>
        <w:rPr>
          <w:b w:val="false"/>
          <w:caps w:val="false"/>
          <w:smallCaps w:val="false"/>
          <w:sz w:val="24"/>
          <w:u w:val="single"/>
        </w:rPr>
        <w:t>New Single Agreement:</w:t>
      </w:r>
      <w:r>
        <w:rPr>
          <w:b w:val="false"/>
          <w:caps w:val="false"/>
          <w:smallCaps w:val="false"/>
          <w:sz w:val="24"/>
        </w:rPr>
        <w:t xml:space="preserve"> Work together with other organizations to develop a new single agreement that would govern a wide range of products and could replace existing master agreements.</w:t>
      </w:r>
    </w:p>
    <w:p>
      <w:pPr>
        <w:pStyle w:val="Normal"/>
        <w:jc w:val="both"/>
        <w:rPr>
          <w:b w:val="false"/>
          <w:caps w:val="false"/>
          <w:smallCaps w:val="false"/>
          <w:sz w:val="24"/>
          <w:u w:val="single"/>
        </w:rPr>
      </w:pPr>
      <w:r>
        <w:rPr>
          <w:b w:val="false"/>
          <w:caps w:val="false"/>
          <w:smallCaps w:val="false"/>
          <w:sz w:val="24"/>
          <w:u w:val="single"/>
        </w:rPr>
      </w:r>
    </w:p>
    <w:p>
      <w:pPr>
        <w:pStyle w:val="Normal"/>
        <w:numPr>
          <w:ilvl w:val="0"/>
          <w:numId w:val="2"/>
        </w:numPr>
        <w:jc w:val="both"/>
        <w:rPr>
          <w:b w:val="false"/>
          <w:caps w:val="false"/>
          <w:smallCaps w:val="false"/>
          <w:sz w:val="24"/>
        </w:rPr>
      </w:pPr>
      <w:r>
        <w:rPr>
          <w:b w:val="false"/>
          <w:caps w:val="false"/>
          <w:smallCaps w:val="false"/>
          <w:sz w:val="24"/>
          <w:u w:val="single"/>
        </w:rPr>
        <w:t>Status Quo:</w:t>
      </w:r>
      <w:r>
        <w:rPr>
          <w:b w:val="false"/>
          <w:caps w:val="false"/>
          <w:smallCaps w:val="false"/>
          <w:sz w:val="24"/>
        </w:rPr>
        <w:t xml:space="preserve"> Keep focused on the world of derivatives, leaving cross-product netting to be achieved through a master master, where possible.</w:t>
      </w:r>
    </w:p>
    <w:p>
      <w:pPr>
        <w:pStyle w:val="Normal"/>
        <w:jc w:val="both"/>
        <w:rPr>
          <w:b w:val="false"/>
          <w:caps w:val="false"/>
          <w:smallCaps w:val="false"/>
          <w:sz w:val="24"/>
          <w:u w:val="single"/>
        </w:rPr>
      </w:pPr>
      <w:r>
        <w:rPr>
          <w:b w:val="false"/>
          <w:caps w:val="false"/>
          <w:smallCaps w:val="false"/>
          <w:sz w:val="24"/>
          <w:u w:val="single"/>
        </w:rPr>
      </w:r>
    </w:p>
    <w:p>
      <w:pPr>
        <w:pStyle w:val="Normal"/>
        <w:jc w:val="both"/>
        <w:rPr>
          <w:b w:val="false"/>
          <w:caps w:val="false"/>
          <w:smallCaps w:val="false"/>
          <w:sz w:val="24"/>
        </w:rPr>
      </w:pPr>
      <w:r>
        <w:rPr>
          <w:b w:val="false"/>
          <w:caps w:val="false"/>
          <w:smallCaps w:val="false"/>
          <w:sz w:val="24"/>
        </w:rPr>
        <w:t xml:space="preserve">Any of these approaches will require direction from levels within member organizations that oversee derivatives and other areas.  In addition to discussing the goals that ISDA should pursue, the Board should focus on how that direction can be encouraged within firms. </w:t>
      </w:r>
    </w:p>
    <w:p>
      <w:pPr>
        <w:pStyle w:val="Normal"/>
        <w:jc w:val="both"/>
        <w:rPr>
          <w:b w:val="false"/>
          <w:caps w:val="false"/>
          <w:smallCaps w:val="false"/>
          <w:sz w:val="24"/>
          <w:lang w:val="en-CA"/>
        </w:rPr>
      </w:pPr>
      <w:r>
        <w:rPr>
          <w:b w:val="false"/>
          <w:caps w:val="false"/>
          <w:smallCaps w:val="false"/>
          <w:sz w:val="24"/>
          <w:lang w:val="en-CA"/>
        </w:rPr>
        <mc:AlternateContent>
          <mc:Choice Requires="wps">
            <w:drawing>
              <wp:anchor behindDoc="0" distT="0" distB="0" distL="114935" distR="114935" simplePos="0" locked="0" layoutInCell="1" allowOverlap="1" relativeHeight="5">
                <wp:simplePos x="0" y="0"/>
                <wp:positionH relativeFrom="column">
                  <wp:posOffset>0</wp:posOffset>
                </wp:positionH>
                <wp:positionV relativeFrom="paragraph">
                  <wp:posOffset>6543040</wp:posOffset>
                </wp:positionV>
                <wp:extent cx="6766560" cy="0"/>
                <wp:effectExtent l="0" t="5080" r="0" b="5080"/>
                <wp:wrapNone/>
                <wp:docPr id="4" name=""/>
                <a:graphic xmlns:a="http://schemas.openxmlformats.org/drawingml/2006/main">
                  <a:graphicData uri="http://schemas.microsoft.com/office/word/2010/wordprocessingShape">
                    <wps:wsp>
                      <wps:cNvSpPr/>
                      <wps:spPr>
                        <a:xfrm>
                          <a:off x="0" y="0"/>
                          <a:ext cx="67665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515.2pt" to="532.75pt,515.2pt" stroked="t" o:allowincell="f" style="position:absolute">
                <v:stroke color="black" weight="9360" joinstyle="miter" endcap="flat"/>
                <v:fill o:detectmouseclick="t" on="false"/>
                <w10:wrap type="none"/>
              </v:line>
            </w:pict>
          </mc:Fallback>
        </mc:AlternateContent>
      </w:r>
    </w:p>
    <w:sectPr>
      <w:headerReference w:type="default" r:id="rId4"/>
      <w:headerReference w:type="first" r:id="rId5"/>
      <w:footerReference w:type="default" r:id="rId6"/>
      <w:footerReference w:type="first" r:id="rId7"/>
      <w:footnotePr>
        <w:numFmt w:val="decimal"/>
      </w:footnotePr>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rPr>
    </w:pPr>
    <w:r>
      <w:rPr>
        <w:lang w:val="en-CA"/>
      </w:rPr>
      <mc:AlternateContent>
        <mc:Choice Requires="wps">
          <w:drawing>
            <wp:anchor behindDoc="0" distT="0" distB="0" distL="114935" distR="114935" simplePos="0" locked="0" layoutInCell="0" allowOverlap="1" relativeHeight="4">
              <wp:simplePos x="0" y="0"/>
              <wp:positionH relativeFrom="column">
                <wp:posOffset>-457200</wp:posOffset>
              </wp:positionH>
              <wp:positionV relativeFrom="paragraph">
                <wp:posOffset>-548640</wp:posOffset>
              </wp:positionV>
              <wp:extent cx="6858000" cy="0"/>
              <wp:effectExtent l="0" t="5080" r="0" b="5080"/>
              <wp:wrapTopAndBottom/>
              <wp:docPr id="1" name=""/>
              <a:graphic xmlns:a="http://schemas.openxmlformats.org/drawingml/2006/main">
                <a:graphicData uri="http://schemas.microsoft.com/office/word/2010/wordprocessingShape">
                  <wps:wsp>
                    <wps:cNvSpPr/>
                    <wps:spPr>
                      <a:xfrm>
                        <a:off x="0" y="0"/>
                        <a:ext cx="68580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6pt,-43.2pt" to="503.95pt,-43.2pt" stroked="t" o:allowincell="f" style="position:absolute">
              <v:stroke color="black" weight="9360" joinstyle="miter" endcap="flat"/>
              <v:fill o:detectmouseclick="t" on="false"/>
              <w10:wrap type="topAndBottom"/>
            </v:line>
          </w:pict>
        </mc:Fallback>
      </mc:AlternateContent>
    </w:r>
    <w:r>
      <mc:AlternateContent>
        <mc:Choice Requires="wps">
          <w:drawing>
            <wp:anchor behindDoc="1" distT="0" distB="0" distL="114935" distR="114935" simplePos="0" locked="0" layoutInCell="1" allowOverlap="1" relativeHeight="2">
              <wp:simplePos x="0" y="0"/>
              <wp:positionH relativeFrom="column">
                <wp:posOffset>3383280</wp:posOffset>
              </wp:positionH>
              <wp:positionV relativeFrom="paragraph">
                <wp:posOffset>-457200</wp:posOffset>
              </wp:positionV>
              <wp:extent cx="3017520" cy="800100"/>
              <wp:effectExtent l="0" t="0" r="0" b="0"/>
              <wp:wrapNone/>
              <wp:docPr id="2" name="Frame2"/>
              <a:graphic xmlns:a="http://schemas.openxmlformats.org/drawingml/2006/main">
                <a:graphicData uri="http://schemas.microsoft.com/office/word/2010/wordprocessingShape">
                  <wps:wsp>
                    <wps:cNvSpPr txBox="1"/>
                    <wps:spPr>
                      <a:xfrm>
                        <a:off x="0" y="0"/>
                        <a:ext cx="3017520" cy="800100"/>
                      </a:xfrm>
                      <a:prstGeom prst="rect"/>
                      <a:solidFill>
                        <a:srgbClr val="FFFFFF"/>
                      </a:solidFill>
                    </wps:spPr>
                    <wps:txbx>
                      <w:txbxContent>
                        <w:p>
                          <w:pPr>
                            <w:pStyle w:val="Footer"/>
                            <w:jc w:val="center"/>
                            <w:rPr>
                              <w:b w:val="false"/>
                              <w:caps w:val="false"/>
                              <w:smallCaps w:val="false"/>
                            </w:rPr>
                          </w:pPr>
                          <w:r>
                            <w:rPr>
                              <w:b w:val="false"/>
                              <w:caps w:val="false"/>
                              <w:smallCaps w:val="false"/>
                            </w:rPr>
                            <w:t>TOKYO</w:t>
                          </w:r>
                        </w:p>
                        <w:p>
                          <w:pPr>
                            <w:pStyle w:val="Footer"/>
                            <w:jc w:val="center"/>
                            <w:rPr/>
                          </w:pPr>
                          <w:r>
                            <w:rPr>
                              <w:b w:val="false"/>
                              <w:caps w:val="false"/>
                              <w:smallCaps w:val="false"/>
                            </w:rPr>
                            <w:t>Chuo Building, 1</w:t>
                          </w:r>
                          <w:r>
                            <w:rPr>
                              <w:b w:val="false"/>
                              <w:caps w:val="false"/>
                              <w:smallCaps w:val="false"/>
                              <w:vertAlign w:val="superscript"/>
                            </w:rPr>
                            <w:t>st</w:t>
                          </w:r>
                          <w:r>
                            <w:rPr>
                              <w:b w:val="false"/>
                              <w:caps w:val="false"/>
                              <w:smallCaps w:val="false"/>
                            </w:rPr>
                            <w:t xml:space="preserve"> Floor</w:t>
                          </w:r>
                        </w:p>
                        <w:p>
                          <w:pPr>
                            <w:pStyle w:val="Footer"/>
                            <w:jc w:val="center"/>
                            <w:rPr>
                              <w:b w:val="false"/>
                              <w:caps w:val="false"/>
                              <w:smallCaps w:val="false"/>
                            </w:rPr>
                          </w:pPr>
                          <w:r>
                            <w:rPr>
                              <w:b w:val="false"/>
                              <w:caps w:val="false"/>
                              <w:smallCaps w:val="false"/>
                            </w:rPr>
                            <w:t>2-17 Kagurazaka – Shinjuku-ku 162-0825</w:t>
                          </w:r>
                        </w:p>
                        <w:p>
                          <w:pPr>
                            <w:pStyle w:val="Footer"/>
                            <w:jc w:val="center"/>
                            <w:rPr>
                              <w:b w:val="false"/>
                              <w:caps w:val="false"/>
                              <w:smallCaps w:val="false"/>
                            </w:rPr>
                          </w:pPr>
                          <w:r>
                            <w:rPr>
                              <w:b w:val="false"/>
                              <w:caps w:val="false"/>
                              <w:smallCaps w:val="false"/>
                            </w:rPr>
                            <w:t>Phone: 81-3-5227-3282     Facsimile: 81-3-5227-3283</w:t>
                          </w:r>
                        </w:p>
                        <w:p>
                          <w:pPr>
                            <w:pStyle w:val="Normal"/>
                            <w:rPr>
                              <w:b w:val="false"/>
                              <w:caps w:val="false"/>
                              <w:smallCaps w:val="false"/>
                            </w:rPr>
                          </w:pPr>
                          <w:r>
                            <w:rPr>
                              <w:b w:val="false"/>
                              <w:caps w:val="false"/>
                              <w:smallCaps w:val="false"/>
                            </w:rPr>
                          </w:r>
                        </w:p>
                      </w:txbxContent>
                    </wps:txbx>
                    <wps:bodyPr anchor="t" lIns="92075" tIns="46355" rIns="92075" bIns="46355">
                      <a:noAutofit/>
                    </wps:bodyPr>
                  </wps:wsp>
                </a:graphicData>
              </a:graphic>
            </wp:anchor>
          </w:drawing>
        </mc:Choice>
        <mc:Fallback>
          <w:pict>
            <v:rect fillcolor="#FFFFFF" style="position:absolute;rotation:-0;width:237.6pt;height:63pt;mso-wrap-distance-left:9.05pt;mso-wrap-distance-right:9.05pt;mso-wrap-distance-top:0pt;mso-wrap-distance-bottom:0pt;margin-top:-36pt;mso-position-vertical-relative:text;margin-left:266.4pt;mso-position-horizontal-relative:text">
              <v:textbox inset="0.100694444444444in,0.0506944444444444in,0.100694444444444in,0.0506944444444444in">
                <w:txbxContent>
                  <w:p>
                    <w:pPr>
                      <w:pStyle w:val="Footer"/>
                      <w:jc w:val="center"/>
                      <w:rPr>
                        <w:b w:val="false"/>
                        <w:caps w:val="false"/>
                        <w:smallCaps w:val="false"/>
                      </w:rPr>
                    </w:pPr>
                    <w:r>
                      <w:rPr>
                        <w:b w:val="false"/>
                        <w:caps w:val="false"/>
                        <w:smallCaps w:val="false"/>
                      </w:rPr>
                      <w:t>TOKYO</w:t>
                    </w:r>
                  </w:p>
                  <w:p>
                    <w:pPr>
                      <w:pStyle w:val="Footer"/>
                      <w:jc w:val="center"/>
                      <w:rPr/>
                    </w:pPr>
                    <w:r>
                      <w:rPr>
                        <w:b w:val="false"/>
                        <w:caps w:val="false"/>
                        <w:smallCaps w:val="false"/>
                      </w:rPr>
                      <w:t>Chuo Building, 1</w:t>
                    </w:r>
                    <w:r>
                      <w:rPr>
                        <w:b w:val="false"/>
                        <w:caps w:val="false"/>
                        <w:smallCaps w:val="false"/>
                        <w:vertAlign w:val="superscript"/>
                      </w:rPr>
                      <w:t>st</w:t>
                    </w:r>
                    <w:r>
                      <w:rPr>
                        <w:b w:val="false"/>
                        <w:caps w:val="false"/>
                        <w:smallCaps w:val="false"/>
                      </w:rPr>
                      <w:t xml:space="preserve"> Floor</w:t>
                    </w:r>
                  </w:p>
                  <w:p>
                    <w:pPr>
                      <w:pStyle w:val="Footer"/>
                      <w:jc w:val="center"/>
                      <w:rPr>
                        <w:b w:val="false"/>
                        <w:caps w:val="false"/>
                        <w:smallCaps w:val="false"/>
                      </w:rPr>
                    </w:pPr>
                    <w:r>
                      <w:rPr>
                        <w:b w:val="false"/>
                        <w:caps w:val="false"/>
                        <w:smallCaps w:val="false"/>
                      </w:rPr>
                      <w:t>2-17 Kagurazaka – Shinjuku-ku 162-0825</w:t>
                    </w:r>
                  </w:p>
                  <w:p>
                    <w:pPr>
                      <w:pStyle w:val="Footer"/>
                      <w:jc w:val="center"/>
                      <w:rPr>
                        <w:b w:val="false"/>
                        <w:caps w:val="false"/>
                        <w:smallCaps w:val="false"/>
                      </w:rPr>
                    </w:pPr>
                    <w:r>
                      <w:rPr>
                        <w:b w:val="false"/>
                        <w:caps w:val="false"/>
                        <w:smallCaps w:val="false"/>
                      </w:rPr>
                      <w:t>Phone: 81-3-5227-3282     Facsimile: 81-3-5227-3283</w:t>
                    </w:r>
                  </w:p>
                  <w:p>
                    <w:pPr>
                      <w:pStyle w:val="Normal"/>
                      <w:rPr>
                        <w:b w:val="false"/>
                        <w:caps w:val="false"/>
                        <w:smallCaps w:val="false"/>
                      </w:rPr>
                    </w:pPr>
                    <w:r>
                      <w:rPr>
                        <w:b w:val="false"/>
                        <w:caps w:val="false"/>
                        <w:smallCaps w:val="false"/>
                      </w:rPr>
                    </w:r>
                  </w:p>
                </w:txbxContent>
              </v:textbox>
              <w10:wrap type="none"/>
            </v:rect>
          </w:pict>
        </mc:Fallback>
      </mc:AlternateContent>
    </w:r>
    <w:r>
      <mc:AlternateContent>
        <mc:Choice Requires="wps">
          <w:drawing>
            <wp:anchor behindDoc="1" distT="0" distB="0" distL="114935" distR="114935" simplePos="0" locked="0" layoutInCell="1" allowOverlap="1" relativeHeight="3">
              <wp:simplePos x="0" y="0"/>
              <wp:positionH relativeFrom="column">
                <wp:posOffset>-457200</wp:posOffset>
              </wp:positionH>
              <wp:positionV relativeFrom="paragraph">
                <wp:posOffset>-457200</wp:posOffset>
              </wp:positionV>
              <wp:extent cx="3383280" cy="640080"/>
              <wp:effectExtent l="0" t="0" r="0" b="0"/>
              <wp:wrapNone/>
              <wp:docPr id="3" name="Frame1"/>
              <a:graphic xmlns:a="http://schemas.openxmlformats.org/drawingml/2006/main">
                <a:graphicData uri="http://schemas.microsoft.com/office/word/2010/wordprocessingShape">
                  <wps:wsp>
                    <wps:cNvSpPr txBox="1"/>
                    <wps:spPr>
                      <a:xfrm>
                        <a:off x="0" y="0"/>
                        <a:ext cx="3383280" cy="640080"/>
                      </a:xfrm>
                      <a:prstGeom prst="rect"/>
                      <a:solidFill>
                        <a:srgbClr val="FFFFFF"/>
                      </a:solidFill>
                    </wps:spPr>
                    <wps:txbx>
                      <w:txbxContent>
                        <w:p>
                          <w:pPr>
                            <w:pStyle w:val="Heading1"/>
                            <w:ind w:hanging="0" w:start="0"/>
                            <w:rPr>
                              <w:b w:val="false"/>
                            </w:rPr>
                          </w:pPr>
                          <w:r>
                            <w:rPr>
                              <w:b w:val="false"/>
                            </w:rPr>
                            <w:t>LONDON</w:t>
                          </w:r>
                        </w:p>
                        <w:p>
                          <w:pPr>
                            <w:pStyle w:val="Heading1"/>
                            <w:ind w:hanging="0" w:start="0"/>
                            <w:rPr>
                              <w:b w:val="false"/>
                            </w:rPr>
                          </w:pPr>
                          <w:r>
                            <w:rPr>
                              <w:b w:val="false"/>
                            </w:rPr>
                            <w:t xml:space="preserve"> </w:t>
                          </w:r>
                          <w:r>
                            <w:rPr>
                              <w:b w:val="false"/>
                            </w:rPr>
                            <w:t>One New Change – EC4M 9QQ</w:t>
                          </w:r>
                        </w:p>
                        <w:p>
                          <w:pPr>
                            <w:pStyle w:val="Normal"/>
                            <w:jc w:val="center"/>
                            <w:rPr>
                              <w:b w:val="false"/>
                              <w:caps w:val="false"/>
                              <w:smallCaps w:val="false"/>
                            </w:rPr>
                          </w:pPr>
                          <w:r>
                            <w:rPr>
                              <w:b w:val="false"/>
                              <w:caps w:val="false"/>
                              <w:smallCaps w:val="false"/>
                            </w:rPr>
                            <w:t>Phone: 44-207-330-3550    Facsimile: 44-207-330-3555</w:t>
                          </w:r>
                        </w:p>
                      </w:txbxContent>
                    </wps:txbx>
                    <wps:bodyPr anchor="t" lIns="92075" tIns="46355" rIns="92075" bIns="46355">
                      <a:noAutofit/>
                    </wps:bodyPr>
                  </wps:wsp>
                </a:graphicData>
              </a:graphic>
            </wp:anchor>
          </w:drawing>
        </mc:Choice>
        <mc:Fallback>
          <w:pict>
            <v:rect fillcolor="#FFFFFF" style="position:absolute;rotation:-0;width:266.4pt;height:50.4pt;mso-wrap-distance-left:9.05pt;mso-wrap-distance-right:9.05pt;mso-wrap-distance-top:0pt;mso-wrap-distance-bottom:0pt;margin-top:-36pt;mso-position-vertical-relative:text;margin-left:-36pt;mso-position-horizontal-relative:text">
              <v:textbox inset="0.100694444444444in,0.0506944444444444in,0.100694444444444in,0.0506944444444444in">
                <w:txbxContent>
                  <w:p>
                    <w:pPr>
                      <w:pStyle w:val="Heading1"/>
                      <w:ind w:hanging="0" w:start="0"/>
                      <w:rPr>
                        <w:b w:val="false"/>
                      </w:rPr>
                    </w:pPr>
                    <w:r>
                      <w:rPr>
                        <w:b w:val="false"/>
                      </w:rPr>
                      <w:t>LONDON</w:t>
                    </w:r>
                  </w:p>
                  <w:p>
                    <w:pPr>
                      <w:pStyle w:val="Heading1"/>
                      <w:ind w:hanging="0" w:start="0"/>
                      <w:rPr>
                        <w:b w:val="false"/>
                      </w:rPr>
                    </w:pPr>
                    <w:r>
                      <w:rPr>
                        <w:b w:val="false"/>
                      </w:rPr>
                      <w:t xml:space="preserve"> </w:t>
                    </w:r>
                    <w:r>
                      <w:rPr>
                        <w:b w:val="false"/>
                      </w:rPr>
                      <w:t>One New Change – EC4M 9QQ</w:t>
                    </w:r>
                  </w:p>
                  <w:p>
                    <w:pPr>
                      <w:pStyle w:val="Normal"/>
                      <w:jc w:val="center"/>
                      <w:rPr>
                        <w:b w:val="false"/>
                        <w:caps w:val="false"/>
                        <w:smallCaps w:val="false"/>
                      </w:rPr>
                    </w:pPr>
                    <w:r>
                      <w:rPr>
                        <w:b w:val="false"/>
                        <w:caps w:val="false"/>
                        <w:smallCaps w:val="false"/>
                      </w:rPr>
                      <w:t>Phone: 44-207-330-3550    Facsimile: 44-207-330-3555</w:t>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b/>
        <w:sz w:val="24"/>
      </w:rPr>
      <w:fldChar w:fldCharType="begin"/>
    </w:r>
    <w:r>
      <w:rPr>
        <w:rStyle w:val="PageNumber"/>
        <w:sz w:val="24"/>
        <w:b/>
      </w:rPr>
      <w:instrText xml:space="preserve"> PAGE </w:instrText>
    </w:r>
    <w:r>
      <w:rPr>
        <w:rStyle w:val="PageNumber"/>
        <w:sz w:val="24"/>
        <w:b/>
      </w:rPr>
      <w:fldChar w:fldCharType="separate"/>
    </w:r>
    <w:r>
      <w:rPr>
        <w:rStyle w:val="PageNumber"/>
        <w:sz w:val="24"/>
        <w:b/>
      </w:rPr>
      <w:t>6</w:t>
    </w:r>
    <w:r>
      <w:rPr>
        <w:rStyle w:val="PageNumber"/>
        <w:sz w:val="24"/>
        <w:b/>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t></w:t>
      </w:r>
      <w:r>
        <w:rPr/>
        <w:t xml:space="preserve"> </w:t>
      </w:r>
      <w:r>
        <w:rPr/>
        <w:t>A third approach, the so-called bridge approach, uses one master agreement in essence as a master master. This is achieved by taking the close-out value under one agreement (e.g., a repo master) and treating it as part of the close-out process of another agreement (e.g., the ISDA Master Agreement). ISDA is considering establishing bridges between its Master Agreement and several industry documents, but it is probably best to view this approach as a temporary measure while pursuing the possibility of a single agreement.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start="-720" w:end="0"/>
      <w:rPr/>
    </w:pPr>
    <w:r>
      <w:rPr>
        <w:b w:val="false"/>
        <w:sz w:val="96"/>
      </w:rPr>
      <w:t>ISDA</w:t>
    </w:r>
    <w:r>
      <w:rPr>
        <w:b w:val="false"/>
      </w:rPr>
      <w:t xml:space="preserve"> I</w:t>
    </w:r>
    <w:r>
      <w:rPr>
        <w:b w:val="false"/>
        <w:caps w:val="false"/>
        <w:smallCaps w:val="false"/>
      </w:rPr>
      <w:t>nternational Swaps and Derivatives Association, Inc.</w:t>
    </w:r>
  </w:p>
  <w:p>
    <w:pPr>
      <w:pStyle w:val="Header"/>
      <w:ind w:start="-720" w:end="0"/>
      <w:rPr/>
    </w:pPr>
    <w:r>
      <w:rPr>
        <w:b w:val="false"/>
        <w:caps w:val="false"/>
        <w:smallCaps w:val="false"/>
      </w:rPr>
      <w:t>600 Fifth Avenue, 27</w:t>
    </w:r>
    <w:r>
      <w:rPr>
        <w:b w:val="false"/>
        <w:caps w:val="false"/>
        <w:smallCaps w:val="false"/>
        <w:vertAlign w:val="superscript"/>
      </w:rPr>
      <w:t>th</w:t>
    </w:r>
    <w:r>
      <w:rPr>
        <w:b w:val="false"/>
        <w:caps w:val="false"/>
        <w:smallCaps w:val="false"/>
      </w:rPr>
      <w:t xml:space="preserve"> Floor</w:t>
    </w:r>
  </w:p>
  <w:p>
    <w:pPr>
      <w:pStyle w:val="Header"/>
      <w:ind w:start="-720" w:end="0"/>
      <w:rPr>
        <w:b w:val="false"/>
        <w:caps w:val="false"/>
        <w:smallCaps w:val="false"/>
      </w:rPr>
    </w:pPr>
    <w:r>
      <w:rPr>
        <w:b w:val="false"/>
        <w:caps w:val="false"/>
        <w:smallCaps w:val="false"/>
      </w:rPr>
      <w:t>Rockefeller Center</w:t>
    </w:r>
  </w:p>
  <w:p>
    <w:pPr>
      <w:pStyle w:val="Header"/>
      <w:ind w:start="-720" w:end="0"/>
      <w:rPr>
        <w:b w:val="false"/>
        <w:caps w:val="false"/>
        <w:smallCaps w:val="false"/>
      </w:rPr>
    </w:pPr>
    <w:r>
      <w:rPr>
        <w:b w:val="false"/>
        <w:caps w:val="false"/>
        <w:smallCaps w:val="false"/>
      </w:rPr>
      <w:t>New York, NY 10020-2302</w:t>
    </w:r>
  </w:p>
  <w:p>
    <w:pPr>
      <w:pStyle w:val="Header"/>
      <w:ind w:start="-720" w:end="0"/>
      <w:rPr>
        <w:b w:val="false"/>
        <w:caps w:val="false"/>
        <w:smallCaps w:val="false"/>
      </w:rPr>
    </w:pPr>
    <w:r>
      <w:rPr>
        <w:b w:val="false"/>
        <w:caps w:val="false"/>
        <w:smallCaps w:val="false"/>
      </w:rPr>
      <w:t>Telephone: (212) 332-1200</w:t>
    </w:r>
  </w:p>
  <w:p>
    <w:pPr>
      <w:pStyle w:val="Header"/>
      <w:ind w:start="-720" w:end="0"/>
      <w:rPr>
        <w:b w:val="false"/>
        <w:caps w:val="false"/>
        <w:smallCaps w:val="false"/>
      </w:rPr>
    </w:pPr>
    <w:r>
      <w:rPr>
        <w:b w:val="false"/>
        <w:caps w:val="false"/>
        <w:smallCaps w:val="false"/>
      </w:rPr>
      <w:t>Facsimile: (212) 332-1212</w:t>
    </w:r>
  </w:p>
  <w:p>
    <w:pPr>
      <w:pStyle w:val="Header"/>
      <w:ind w:start="-720" w:end="0"/>
      <w:rPr>
        <w:b w:val="false"/>
        <w:caps w:val="false"/>
        <w:smallCaps w:val="false"/>
      </w:rPr>
    </w:pPr>
    <w:r>
      <w:rPr>
        <w:b w:val="false"/>
        <w:caps w:val="false"/>
        <w:smallCaps w:val="false"/>
      </w:rPr>
      <w:t>email: isda@isda.org</w:t>
    </w:r>
  </w:p>
  <w:p>
    <w:pPr>
      <w:pStyle w:val="Header"/>
      <w:ind w:start="-720" w:end="0"/>
      <w:rPr>
        <w:b w:val="false"/>
        <w:caps w:val="false"/>
        <w:smallCaps w:val="false"/>
      </w:rPr>
    </w:pPr>
    <w:r>
      <w:rPr>
        <w:b w:val="false"/>
        <w:caps w:val="false"/>
        <w:smallCaps w:val="false"/>
      </w:rPr>
      <w:t>website: www.isda.org</w:t>
    </w:r>
  </w:p>
  <w:p>
    <w:pPr>
      <w:pStyle w:val="Header"/>
      <w:rPr>
        <w:b w:val="false"/>
        <w:caps w:val="false"/>
        <w:smallCaps w:val="false"/>
      </w:rPr>
    </w:pPr>
    <w:r>
      <w:rPr>
        <w:b w:val="false"/>
        <w:caps w:val="false"/>
        <w:smallCaps w:val="false"/>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val="false"/>
      </w:rPr>
    </w:pPr>
    <w:r>
      <w:rPr>
        <w:b w:val="false"/>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b/>
      <w:caps/>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caps w:val="false"/>
      <w:smallCaps w:val="false"/>
    </w:rPr>
  </w:style>
  <w:style w:type="paragraph" w:styleId="Heading4">
    <w:name w:val="heading 4"/>
    <w:basedOn w:val="Normal"/>
    <w:next w:val="Normal"/>
    <w:qFormat/>
    <w:pPr>
      <w:keepNext w:val="true"/>
      <w:numPr>
        <w:ilvl w:val="3"/>
        <w:numId w:val="1"/>
      </w:numPr>
      <w:jc w:val="center"/>
      <w:outlineLvl w:val="3"/>
    </w:pPr>
    <w:rPr>
      <w:caps w:val="false"/>
      <w:smallCaps w:val="false"/>
      <w:sz w:val="24"/>
    </w:rPr>
  </w:style>
  <w:style w:type="paragraph" w:styleId="Heading6">
    <w:name w:val="heading 6"/>
    <w:basedOn w:val="Normal"/>
    <w:next w:val="Normal"/>
    <w:qFormat/>
    <w:pPr>
      <w:keepNext w:val="true"/>
      <w:numPr>
        <w:ilvl w:val="5"/>
        <w:numId w:val="1"/>
      </w:numPr>
      <w:ind w:hanging="0" w:start="1440" w:end="0"/>
      <w:outlineLvl w:val="5"/>
    </w:pPr>
    <w:rPr>
      <w:b w:val="false"/>
      <w:caps w:val="false"/>
      <w:smallCaps w:val="false"/>
      <w:sz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b w:val="false"/>
      <w:caps w:val="false"/>
      <w:smallCaps w:val="false"/>
      <w:sz w:val="24"/>
    </w:rPr>
  </w:style>
  <w:style w:type="paragraph" w:styleId="FootnoteText">
    <w:name w:val="footnote text"/>
    <w:basedOn w:val="Normal"/>
    <w:pPr/>
    <w:rPr>
      <w:b w:val="false"/>
      <w:caps w:val="false"/>
      <w:smallCaps w:val="false"/>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2000-09-06T11:32:00Z</dcterms:created>
  <dc:creator>Milton Bellis</dc:creator>
  <dc:description/>
  <dc:language>en-CA</dc:language>
  <cp:lastModifiedBy>Barbara Hanlon</cp:lastModifiedBy>
  <cp:lastPrinted>2000-09-06T16:53:00Z</cp:lastPrinted>
  <dcterms:modified xsi:type="dcterms:W3CDTF">2000-09-06T18:33:00Z</dcterms:modified>
  <cp:revision>7</cp:revision>
  <dc:subject/>
  <dc:title>________________________________________________________________________</dc:title>
</cp:coreProperties>
</file>