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aps w:val="false"/>
          <w:smallCaps w:val="false"/>
          <w:sz w:val="24"/>
        </w:rPr>
      </w:pPr>
      <w:r>
        <w:rPr>
          <w:caps w:val="false"/>
          <w:smallCaps w:val="false"/>
          <w:sz w:val="24"/>
        </w:rPr>
        <w:t>________________________________________________________________________</w:t>
      </w:r>
    </w:p>
    <w:p>
      <w:pPr>
        <w:pStyle w:val="Heading4"/>
        <w:ind w:hanging="0" w:start="0"/>
        <w:rPr>
          <w:b w:val="false"/>
          <w:caps/>
          <w:sz w:val="24"/>
        </w:rPr>
      </w:pPr>
      <w:r>
        <w:rPr>
          <w:b w:val="false"/>
          <w:caps/>
          <w:sz w:val="24"/>
        </w:rPr>
      </w:r>
    </w:p>
    <w:p>
      <w:pPr>
        <w:pStyle w:val="Heading4"/>
        <w:ind w:hanging="0" w:start="0"/>
        <w:rPr>
          <w:spacing w:val="100"/>
        </w:rPr>
      </w:pPr>
      <w:r>
        <w:rPr>
          <w:spacing w:val="100"/>
        </w:rPr>
        <w:t>MEMORANDUM</w:t>
      </w:r>
    </w:p>
    <w:p>
      <w:pPr>
        <w:pStyle w:val="Normal"/>
        <w:rPr>
          <w:b w:val="false"/>
          <w:caps w:val="false"/>
          <w:smallCaps w:val="false"/>
          <w:spacing w:val="100"/>
          <w:sz w:val="24"/>
        </w:rPr>
      </w:pPr>
      <w:r>
        <w:rPr>
          <w:b w:val="false"/>
          <w:caps w:val="false"/>
          <w:smallCaps w:val="false"/>
          <w:spacing w:val="100"/>
          <w:sz w:val="24"/>
        </w:rPr>
      </w:r>
    </w:p>
    <w:p>
      <w:pPr>
        <w:pStyle w:val="Normal"/>
        <w:rPr>
          <w:b w:val="false"/>
          <w:caps w:val="false"/>
          <w:smallCaps w:val="false"/>
          <w:sz w:val="24"/>
        </w:rPr>
      </w:pPr>
      <w:r>
        <w:rPr>
          <w:b w:val="false"/>
          <w:caps w:val="false"/>
          <w:smallCaps w:val="false"/>
          <w:sz w:val="24"/>
        </w:rPr>
      </w:r>
    </w:p>
    <w:p>
      <w:pPr>
        <w:pStyle w:val="Heading6"/>
        <w:rPr/>
      </w:pPr>
      <w:r>
        <w:rPr/>
        <w:t xml:space="preserve">To:  </w:t>
        <w:tab/>
        <w:tab/>
        <w:t>ISDA Board of Directors</w:t>
      </w:r>
    </w:p>
    <w:p>
      <w:pPr>
        <w:pStyle w:val="Normal"/>
        <w:ind w:start="1440" w:end="0"/>
        <w:rPr>
          <w:b w:val="false"/>
          <w:caps w:val="false"/>
          <w:smallCaps w:val="false"/>
          <w:sz w:val="24"/>
        </w:rPr>
      </w:pPr>
      <w:r>
        <w:rPr>
          <w:b w:val="false"/>
          <w:caps w:val="false"/>
          <w:smallCaps w:val="false"/>
          <w:sz w:val="24"/>
        </w:rPr>
      </w:r>
    </w:p>
    <w:p>
      <w:pPr>
        <w:pStyle w:val="Normal"/>
        <w:ind w:start="1440" w:end="0"/>
        <w:rPr>
          <w:b w:val="false"/>
          <w:caps w:val="false"/>
          <w:smallCaps w:val="false"/>
          <w:sz w:val="24"/>
        </w:rPr>
      </w:pPr>
      <w:r>
        <w:rPr>
          <w:b w:val="false"/>
          <w:caps w:val="false"/>
          <w:smallCaps w:val="false"/>
          <w:sz w:val="24"/>
        </w:rPr>
        <w:t xml:space="preserve">From:  </w:t>
        <w:tab/>
        <w:tab/>
        <w:t>Robert Pickel</w:t>
      </w:r>
    </w:p>
    <w:p>
      <w:pPr>
        <w:pStyle w:val="Normal"/>
        <w:ind w:start="1440" w:end="0"/>
        <w:rPr>
          <w:b w:val="false"/>
          <w:caps w:val="false"/>
          <w:smallCaps w:val="false"/>
          <w:sz w:val="24"/>
        </w:rPr>
      </w:pPr>
      <w:r>
        <w:rPr>
          <w:b w:val="false"/>
          <w:caps w:val="false"/>
          <w:smallCaps w:val="false"/>
          <w:sz w:val="24"/>
        </w:rPr>
      </w:r>
    </w:p>
    <w:p>
      <w:pPr>
        <w:pStyle w:val="Normal"/>
        <w:ind w:start="1440" w:end="0"/>
        <w:rPr>
          <w:b w:val="false"/>
          <w:caps w:val="false"/>
          <w:smallCaps w:val="false"/>
          <w:sz w:val="24"/>
        </w:rPr>
      </w:pPr>
      <w:r>
        <w:rPr>
          <w:b w:val="false"/>
          <w:caps w:val="false"/>
          <w:smallCaps w:val="false"/>
          <w:sz w:val="24"/>
        </w:rPr>
        <w:t xml:space="preserve">Re:  </w:t>
        <w:tab/>
        <w:tab/>
        <w:t>Single Agreement for Financial Transactions</w:t>
      </w:r>
    </w:p>
    <w:p>
      <w:pPr>
        <w:pStyle w:val="Normal"/>
        <w:ind w:start="1440" w:end="0"/>
        <w:rPr>
          <w:b w:val="false"/>
          <w:caps w:val="false"/>
          <w:smallCaps w:val="false"/>
          <w:sz w:val="24"/>
        </w:rPr>
      </w:pPr>
      <w:r>
        <w:rPr>
          <w:b w:val="false"/>
          <w:caps w:val="false"/>
          <w:smallCaps w:val="false"/>
          <w:sz w:val="24"/>
        </w:rPr>
      </w:r>
    </w:p>
    <w:p>
      <w:pPr>
        <w:pStyle w:val="Heading1"/>
        <w:ind w:hanging="0" w:start="1440" w:end="0"/>
        <w:jc w:val="start"/>
        <w:rPr>
          <w:b w:val="false"/>
          <w:sz w:val="24"/>
        </w:rPr>
      </w:pPr>
      <w:r>
        <w:rPr>
          <w:b w:val="false"/>
          <w:sz w:val="24"/>
        </w:rPr>
        <w:t xml:space="preserve">Date: </w:t>
        <w:tab/>
        <w:tab/>
        <w:t>September 6, 2000</w:t>
      </w:r>
    </w:p>
    <w:p>
      <w:pPr>
        <w:pStyle w:val="Normal"/>
        <w:tabs>
          <w:tab w:val="clear" w:pos="720"/>
          <w:tab w:val="left" w:pos="4230" w:leader="none"/>
        </w:tabs>
        <w:jc w:val="center"/>
        <w:rPr>
          <w:caps w:val="false"/>
          <w:smallCaps w:val="false"/>
          <w:sz w:val="24"/>
        </w:rPr>
      </w:pPr>
      <w:r>
        <w:rPr>
          <w:caps w:val="false"/>
          <w:smallCaps w:val="false"/>
          <w:sz w:val="24"/>
        </w:rPr>
        <w:t>________________________________________________________________________</w:t>
      </w:r>
    </w:p>
    <w:p>
      <w:pPr>
        <w:pStyle w:val="Normal"/>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A single agreement for financial transactions (i.e., one netting agreement to cover swaps, derivatives, foreign exchange, repurchase agreements and securities lending) can be an effective means of achieving cross-product netting. In order to assist the Board in its consideration of pursuing the goal of a single master agreement, this memorandum reviews the current state of industry master agreements, approaches to cross-product netting, netting requirements for financial transactions and possible obstacles to a single master agreement.</w:t>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Current Status of Master Agreements</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Many industry master agreements currently in use take the approach of documenting a specific type of transaction. Accordingly, the terms of the master agreements are very much tailored to the particular product. Among the agreements that take this approach are the following:</w:t>
      </w:r>
    </w:p>
    <w:p>
      <w:pPr>
        <w:pStyle w:val="Normal"/>
        <w:jc w:val="both"/>
        <w:rPr>
          <w:b w:val="false"/>
          <w:caps w:val="false"/>
          <w:smallCaps w:val="false"/>
          <w:sz w:val="24"/>
        </w:rPr>
      </w:pPr>
      <w:r>
        <w:rPr>
          <w:b w:val="false"/>
          <w:caps w:val="false"/>
          <w:smallCaps w:val="false"/>
          <w:sz w:val="24"/>
        </w:rPr>
      </w:r>
    </w:p>
    <w:p>
      <w:pPr>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pStyle w:val="Normal"/>
        <w:numPr>
          <w:ilvl w:val="0"/>
          <w:numId w:val="6"/>
        </w:numPr>
        <w:ind w:hanging="360" w:start="1080" w:end="0"/>
        <w:jc w:val="both"/>
        <w:rPr>
          <w:b w:val="false"/>
          <w:caps w:val="false"/>
          <w:smallCaps w:val="false"/>
          <w:sz w:val="24"/>
        </w:rPr>
      </w:pPr>
      <w:r>
        <w:rPr>
          <w:b w:val="false"/>
          <w:caps w:val="false"/>
          <w:smallCaps w:val="false"/>
          <w:sz w:val="24"/>
          <w:u w:val="single"/>
        </w:rPr>
        <w:t>Repos</w:t>
      </w:r>
      <w:r>
        <w:rPr>
          <w:b w:val="false"/>
          <w:caps w:val="false"/>
          <w:smallCaps w:val="false"/>
          <w:sz w:val="24"/>
        </w:rPr>
        <w:t>: The Master Repurchase Agreement published by the Bond Market Association (“BMA”) and the Global Master Repurchase Agreement published by the BMA and the International Securities Market Association are the principal documents used for repos;</w:t>
      </w:r>
    </w:p>
    <w:p>
      <w:pPr>
        <w:pStyle w:val="Normal"/>
        <w:jc w:val="both"/>
        <w:rPr>
          <w:b w:val="false"/>
          <w:caps w:val="false"/>
          <w:smallCaps w:val="false"/>
          <w:sz w:val="24"/>
        </w:rPr>
      </w:pPr>
      <w:r>
        <w:rPr>
          <w:b w:val="false"/>
          <w:caps w:val="false"/>
          <w:smallCaps w:val="false"/>
          <w:sz w:val="24"/>
        </w:rPr>
      </w:r>
    </w:p>
    <w:p>
      <w:pPr>
        <w:pStyle w:val="Normal"/>
        <w:numPr>
          <w:ilvl w:val="0"/>
          <w:numId w:val="5"/>
        </w:numPr>
        <w:ind w:hanging="360" w:start="1080" w:end="0"/>
        <w:jc w:val="both"/>
        <w:rPr>
          <w:b w:val="false"/>
          <w:caps w:val="false"/>
          <w:smallCaps w:val="false"/>
          <w:sz w:val="24"/>
        </w:rPr>
      </w:pPr>
      <w:r>
        <w:rPr>
          <w:b w:val="false"/>
          <w:caps w:val="false"/>
          <w:smallCaps w:val="false"/>
          <w:sz w:val="24"/>
          <w:u w:val="single"/>
        </w:rPr>
        <w:t>Foreign Exchange</w:t>
      </w:r>
      <w:r>
        <w:rPr>
          <w:b w:val="false"/>
          <w:caps w:val="false"/>
          <w:smallCaps w:val="false"/>
          <w:sz w:val="24"/>
        </w:rPr>
        <w:t>: The documents published by the Foreign Exchange Committee of the New York Fed have historically been used for foreign exchange, although banks have increasingly used the ISDA Master Agreement to document these transactions and achieve greater benefits of netting;</w:t>
      </w:r>
    </w:p>
    <w:p>
      <w:pPr>
        <w:pStyle w:val="Normal"/>
        <w:jc w:val="both"/>
        <w:rPr>
          <w:b w:val="false"/>
          <w:caps w:val="false"/>
          <w:smallCaps w:val="false"/>
          <w:sz w:val="24"/>
        </w:rPr>
      </w:pPr>
      <w:r>
        <w:rPr>
          <w:b w:val="false"/>
          <w:caps w:val="false"/>
          <w:smallCaps w:val="false"/>
          <w:sz w:val="24"/>
        </w:rPr>
      </w:r>
    </w:p>
    <w:p>
      <w:pPr>
        <w:pStyle w:val="Normal"/>
        <w:numPr>
          <w:ilvl w:val="0"/>
          <w:numId w:val="4"/>
        </w:numPr>
        <w:ind w:hanging="360" w:start="1080" w:end="0"/>
        <w:jc w:val="both"/>
        <w:rPr>
          <w:b w:val="false"/>
          <w:caps w:val="false"/>
          <w:smallCaps w:val="false"/>
          <w:sz w:val="24"/>
        </w:rPr>
      </w:pPr>
      <w:r>
        <w:rPr>
          <w:b w:val="false"/>
          <w:caps w:val="false"/>
          <w:smallCaps w:val="false"/>
          <w:sz w:val="24"/>
          <w:u w:val="single"/>
        </w:rPr>
        <w:t>Securities Lending</w:t>
      </w:r>
      <w:r>
        <w:rPr>
          <w:b w:val="false"/>
          <w:caps w:val="false"/>
          <w:smallCaps w:val="false"/>
          <w:sz w:val="24"/>
        </w:rPr>
        <w:t>: The Overseas Securities Lender’s Agreement published by the International Securities Lenders Association is used to document securities lending arrangements in the international market.</w:t>
      </w:r>
    </w:p>
    <w:p>
      <w:pPr>
        <w:pStyle w:val="Normal"/>
        <w:jc w:val="both"/>
        <w:rPr>
          <w:b w:val="false"/>
          <w:caps w:val="false"/>
          <w:smallCaps w:val="false"/>
          <w:sz w:val="24"/>
          <w:u w:val="single"/>
        </w:rPr>
      </w:pPr>
      <w:r>
        <w:rPr>
          <w:b w:val="false"/>
          <w:caps w:val="false"/>
          <w:smallCaps w:val="false"/>
          <w:sz w:val="24"/>
          <w:u w:val="single"/>
        </w:rPr>
      </w:r>
    </w:p>
    <w:p>
      <w:pPr>
        <w:pStyle w:val="BodyTextIndent"/>
        <w:jc w:val="both"/>
        <w:rPr/>
      </w:pPr>
      <w:r>
        <w:rPr/>
        <w:t>In most cases the sponsoring organizations for these documents have undertaken to obtain legal opinions on their enforceability, although the number of opinions are not as great as the ISDA opinion effort.</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The ISDA Master Agreement is not, by its terms, tied to a particular product area. Given its history and focus, ISDA has concentrated on providing documentation in the form of definitions booklets for different derivatives product areas (e.g., interest rates and currencies, commodities, equities and credit). Nothing in the Master Agreement, however, refers to any of these product areas or limits the potential application of the Master Agreement. The relevant definitions booklet (e.g., the 1999 ISDA Credit Derivatives Definitions) is included in the confirmation of a specific transaction—not the Master Agreement—thereby permitting a wide range of transactions to be done under one master agreement.</w:t>
      </w:r>
    </w:p>
    <w:p>
      <w:pPr>
        <w:pStyle w:val="Normal"/>
        <w:ind w:start="720" w:end="0"/>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Until recently, the ISDA Master Agreement was the only document that took an approach that does not tie itself to a particular product area. The European Master Agreement, developed by a number of European banks and sponsored by the European Banking Federation, has adopted this single agreement approach, starting initially with repos and securities lending with plans to extend to derivatives. Over the summer, the EBF approached ISDA to seek its cooperation on a derivatives annex to the EMA. As of this date, a meeting with the EBF’s working group has not been scheduled.</w:t>
      </w:r>
    </w:p>
    <w:p>
      <w:pPr>
        <w:pStyle w:val="Normal"/>
        <w:ind w:start="720" w:end="0"/>
        <w:jc w:val="both"/>
        <w:rPr>
          <w:b w:val="false"/>
          <w:caps w:val="false"/>
          <w:smallCaps w:val="false"/>
          <w:sz w:val="24"/>
        </w:rPr>
      </w:pPr>
      <w:r>
        <w:rPr>
          <w:b w:val="false"/>
          <w:caps w:val="false"/>
          <w:smallCaps w:val="false"/>
          <w:sz w:val="24"/>
        </w:rPr>
      </w:r>
    </w:p>
    <w:p>
      <w:pPr>
        <w:pStyle w:val="Normal"/>
        <w:jc w:val="both"/>
        <w:rPr/>
      </w:pPr>
      <w:r>
        <w:rPr>
          <w:b w:val="false"/>
          <w:caps w:val="false"/>
          <w:smallCaps w:val="false"/>
          <w:sz w:val="24"/>
        </w:rPr>
        <w:t>The development of a master master for these various agreements (for example, the BMA’s cross product master agreement) was perhaps a natural extension of the balkanization of master agreements. With so many different documents in existence, it was inevitable that an effort would be undertaken to pull them together in some way. The master master is one such approach, while the single agreement is another.</w:t>
      </w:r>
      <w:r>
        <w:rPr>
          <w:rStyle w:val="FootnoteCharacters"/>
          <w:rStyle w:val="FootnoteReference"/>
          <w:rFonts w:eastAsia="Symbol" w:cs="Symbol" w:ascii="Symbol" w:hAnsi="Symbol"/>
          <w:b/>
          <w:caps/>
          <w:position w:val="0"/>
          <w:sz w:val="24"/>
          <w:sz w:val="24"/>
          <w:vertAlign w:val="baseline"/>
        </w:rPr>
        <w:footnoteReference w:customMarkFollows="1" w:id="2"/>
        <w:t></w:t>
      </w:r>
      <w:r>
        <w:rPr>
          <w:b w:val="false"/>
          <w:caps w:val="false"/>
          <w:smallCaps w:val="false"/>
          <w:sz w:val="24"/>
        </w:rPr>
        <w:t xml:space="preserve"> These two types of agreements may be treated differently depending on the netting requirements in relevant jurisdictions.</w:t>
      </w:r>
      <w:r>
        <w:br w:type="page"/>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Netting Requirements</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The requirements of netting vary from jurisdiction to jurisdiction, as indicated in the legal opinions obtained to date by ISDA. While care must be taken not to overgeneralize, the opinions fall into two categories:</w:t>
      </w:r>
    </w:p>
    <w:p>
      <w:pPr>
        <w:pStyle w:val="Normal"/>
        <w:jc w:val="both"/>
        <w:rPr>
          <w:b w:val="false"/>
          <w:caps w:val="false"/>
          <w:smallCaps w:val="false"/>
          <w:sz w:val="24"/>
        </w:rPr>
      </w:pPr>
      <w:r>
        <w:rPr>
          <w:b w:val="false"/>
          <w:caps w:val="false"/>
          <w:smallCaps w:val="false"/>
          <w:sz w:val="24"/>
        </w:rPr>
      </w:r>
    </w:p>
    <w:p>
      <w:pPr>
        <w:pStyle w:val="Normal"/>
        <w:numPr>
          <w:ilvl w:val="0"/>
          <w:numId w:val="3"/>
        </w:numPr>
        <w:ind w:hanging="360" w:start="1080" w:end="0"/>
        <w:jc w:val="both"/>
        <w:rPr>
          <w:b w:val="false"/>
          <w:caps w:val="false"/>
          <w:smallCaps w:val="false"/>
          <w:sz w:val="24"/>
        </w:rPr>
      </w:pPr>
      <w:r>
        <w:rPr>
          <w:b w:val="false"/>
          <w:caps w:val="false"/>
          <w:smallCaps w:val="false"/>
          <w:sz w:val="24"/>
          <w:u w:val="single"/>
        </w:rPr>
        <w:t>Set-off jurisdictions</w:t>
      </w:r>
      <w:r>
        <w:rPr>
          <w:b w:val="false"/>
          <w:caps w:val="false"/>
          <w:smallCaps w:val="false"/>
          <w:sz w:val="24"/>
        </w:rPr>
        <w:t>: Jurisdictions with strong set-off rights, e.g. England, generally enforce broad categories of set-off rights, whether achieved in a netting agreement or pursuant to statutory or common law, and do not look to the nature of the underlying transaction to which the set-off applies. Jurisdictions with strong set-off rights are typically more pro-creditor.</w:t>
      </w:r>
    </w:p>
    <w:p>
      <w:pPr>
        <w:pStyle w:val="Normal"/>
        <w:jc w:val="both"/>
        <w:rPr>
          <w:b w:val="false"/>
          <w:caps w:val="false"/>
          <w:smallCaps w:val="false"/>
          <w:sz w:val="24"/>
        </w:rPr>
      </w:pPr>
      <w:r>
        <w:rPr>
          <w:b w:val="false"/>
          <w:caps w:val="false"/>
          <w:smallCaps w:val="false"/>
          <w:sz w:val="24"/>
        </w:rPr>
      </w:r>
    </w:p>
    <w:p>
      <w:pPr>
        <w:pStyle w:val="Normal"/>
        <w:numPr>
          <w:ilvl w:val="0"/>
          <w:numId w:val="2"/>
        </w:numPr>
        <w:ind w:hanging="360" w:start="1080" w:end="0"/>
        <w:jc w:val="both"/>
        <w:rPr>
          <w:b w:val="false"/>
          <w:caps w:val="false"/>
          <w:smallCaps w:val="false"/>
          <w:sz w:val="24"/>
          <w:u w:val="single"/>
        </w:rPr>
      </w:pPr>
      <w:r>
        <w:rPr>
          <w:b w:val="false"/>
          <w:caps w:val="false"/>
          <w:smallCaps w:val="false"/>
          <w:sz w:val="24"/>
          <w:u w:val="single"/>
        </w:rPr>
        <w:t>Netting jurisdictions</w:t>
      </w:r>
      <w:r>
        <w:rPr>
          <w:b w:val="false"/>
          <w:caps w:val="false"/>
          <w:smallCaps w:val="false"/>
          <w:sz w:val="24"/>
        </w:rPr>
        <w:t>: A number of jurisdictions have taken the path of adopting legislation that specifically recognizes the enforceability of netting in the event of insolvency of a party organized in that jurisdiction. The coverage of this legislation varies from jurisdiction to jurisdiction depending upon the nature of the transactions governed by the netting agreement, but central to the analysis generally is that netting of transactions must be undertaken pursuant to the terms of a single netting agreement.</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Jurisdictions with insolvency laws that are favorable to debtors typically have weak set-off rights and have not enacted netting legislation. In these jurisdictions efforts are best devoted to enacting netting legislation for financial contracts instead of seeking to change the more generally applicable rights of set-off. Once netting legislation has been adopted in a jurisdiction, ISDA will typically commission an opinion.</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In set-off jurisdictions, the master master approach is most likely to be enforceable since a master master is, in essence, a set-off agreement. The extent to which a master master provides more protection than under existing set-off law will depend on the specific terms of the master master. In netting jurisdictions, a master master approach may be problematic since the netting undertaken at the master master level is little more than set-off of amounts determined under other master agreements. Where the existence of a single netting agreement is essential to achieve cross-product netting, the enforceability of the master master approach may be open to question.</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The single agreement approach is likely to be enforceable in set-off jurisdictions because the netting mechanisms of the single agreement, while distinct from set-off, will be considered analogous to set-off. The advantages of a single agreement approach will be most prominent in netting jurisdictions, where the netting process, in which only a single net sum owing between the parties is produced pursuant to a netting agreement, is critical for enforceability. This single net sum stands in contrast to the series of separate amounts owing that are central to set-off.</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The principal issue in netting jurisdictions with respect to a single agreement approach will be whether the types of transactions documented under the single agreement can be netted pursuant to existing legislation. Netting legislation in many jurisdictions takes a “laundry list” approach to the transactions that can be netted. If the transaction is on the list, it can be netted; if it is not, it cannot be netted. The United States is perhaps the principal example of this type of approach. Proposed legislation, if adopted, would greatly expand the list and would provide flexibility for transaction types developed in the future.</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Other jurisdictions have adopted “laundry list” type legislation but have authorized a regulatory agency to grant relief for other types of transactions that are developed or regularly entered into after the date of the legislation. Those transactions would usually have to be documented under the same master agreement as other protected transactions.</w:t>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Obstacles to Establishing a Single Agreement</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Assuming any legal hurdles could be overcome, a number of obstacles exist to achieving the goal of establishing a single master agreement for a wide range of financial transactions. The obstacles could possibly arise from other areas within firms, from other sponsoring organizations, regulators and parties interested in documentation in their native tongues or governing laws.</w:t>
      </w:r>
    </w:p>
    <w:p>
      <w:pPr>
        <w:pStyle w:val="Normal"/>
        <w:jc w:val="both"/>
        <w:rPr>
          <w:b w:val="false"/>
          <w:caps w:val="false"/>
          <w:smallCaps w:val="false"/>
          <w:sz w:val="24"/>
        </w:rPr>
      </w:pPr>
      <w:r>
        <w:rPr>
          <w:b w:val="false"/>
          <w:caps w:val="false"/>
          <w:smallCaps w:val="false"/>
          <w:sz w:val="24"/>
        </w:rPr>
      </w:r>
    </w:p>
    <w:p>
      <w:pPr>
        <w:pStyle w:val="Normal"/>
        <w:ind w:start="720" w:end="0"/>
        <w:jc w:val="both"/>
        <w:rPr/>
      </w:pPr>
      <w:r>
        <w:rPr>
          <w:b w:val="false"/>
          <w:caps w:val="false"/>
          <w:smallCaps w:val="false"/>
          <w:sz w:val="24"/>
          <w:u w:val="single"/>
        </w:rPr>
        <w:t>Internal:</w:t>
      </w:r>
      <w:r>
        <w:rPr>
          <w:b w:val="false"/>
          <w:caps w:val="false"/>
          <w:smallCaps w:val="false"/>
          <w:sz w:val="24"/>
        </w:rPr>
        <w:t xml:space="preserve"> Areas within firms—trading, legal, documentation, operations and settlement—are often committed to or familiar with a certain way of approaching a transaction. For some, change of any sort will be resisted. For others, the case for change must be clearly demonstrated.</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Sponsoring Organizations</w:t>
      </w:r>
      <w:r>
        <w:rPr>
          <w:b w:val="false"/>
          <w:caps w:val="false"/>
          <w:smallCaps w:val="false"/>
          <w:sz w:val="24"/>
        </w:rPr>
        <w:t>: Other organizations that sponsor master agreements have a great deal of expertise in certain product areas and have invested time and resources in developing and supporting the documentation they produce. In order to gain their support for a single agreement approach, it must be demonstrated to them that their expertise will be critical to the exercise and that their past efforts will be relevant to the future of the undertaking.</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Regulators</w:t>
      </w:r>
      <w:r>
        <w:rPr>
          <w:b w:val="false"/>
          <w:caps w:val="false"/>
          <w:smallCaps w:val="false"/>
          <w:sz w:val="24"/>
        </w:rPr>
        <w:t>: While regulators are not likely to object to a mechanism that will achieve greater reduction in risk, it is worth noting that a view has been expressed that firms should be wary of putting all their eggs in one basket by consolidating risk in one agreement. This concern would seem to be best addressed by obtaining strong legal opinions on the enforceability of the single agreement approach.</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Language/Law Issue</w:t>
      </w:r>
      <w:r>
        <w:rPr>
          <w:b w:val="false"/>
          <w:caps w:val="false"/>
          <w:smallCaps w:val="false"/>
          <w:sz w:val="24"/>
        </w:rPr>
        <w:t>: Any effort to achieve a single agreement will have to come to terms with the issue of multiple languages and governing laws. The EMA proposes to be translated into several European languages and has supposedly been set up to work under several governing laws. ISDA is likely to continue to hear demands for documentation in local language and local laws, and wider adoption of its Master Agreement may, at some point, be limited by lack of a local language/law version. On the other hand, the class of potential users of a single agreement (i.e., parties who have active trading relationships across multiple product types) may be limited to larger, global institutions for which an English language agreement may be all that is needed.</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Multiple Legal Entities:</w:t>
      </w:r>
      <w:r>
        <w:rPr>
          <w:b w:val="false"/>
          <w:caps w:val="false"/>
          <w:smallCaps w:val="false"/>
          <w:sz w:val="24"/>
        </w:rPr>
        <w:t xml:space="preserve"> Finally, for some firms the benefits of either a master master approach or a single master approach will not be immediately attainable because, for regulatory, credit or other reasons, different types of business are done through different legal entities. In order to gain the benefits of either approach, the incentives that currently exist to do business in different entities must be removed. The class of firms that are most affected by this fragmentation are the U.S. broker-dealers, where the regulatory requirements of the Securities and Exchange Commission make it too costly to book certain transactions through their broker-dealers. </w:t>
      </w:r>
    </w:p>
    <w:p>
      <w:pPr>
        <w:pStyle w:val="Normal"/>
        <w:jc w:val="both"/>
        <w:rPr>
          <w:b w:val="false"/>
          <w:caps w:val="false"/>
          <w:smallCaps w:val="false"/>
          <w:sz w:val="24"/>
          <w:lang w:val="en-CA"/>
        </w:rPr>
      </w:pPr>
      <w:r>
        <w:rPr>
          <w:b w:val="false"/>
          <w:caps w:val="false"/>
          <w:smallCaps w:val="false"/>
          <w:sz w:val="24"/>
          <w:lang w:val="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6543040</wp:posOffset>
                </wp:positionV>
                <wp:extent cx="6766560" cy="0"/>
                <wp:effectExtent l="0" t="5080" r="0" b="5080"/>
                <wp:wrapNone/>
                <wp:docPr id="4" name=""/>
                <a:graphic xmlns:a="http://schemas.openxmlformats.org/drawingml/2006/main">
                  <a:graphicData uri="http://schemas.microsoft.com/office/word/2010/wordprocessingShape">
                    <wps:wsp>
                      <wps:cNvSpPr/>
                      <wps:spPr>
                        <a:xfrm>
                          <a:off x="0" y="0"/>
                          <a:ext cx="6766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5.2pt" to="532.75pt,515.2pt" stroked="t" o:allowincell="f" style="position:absolute">
                <v:stroke color="black" weight="9360" joinstyle="miter" endcap="flat"/>
                <v:fill o:detectmouseclick="t" on="false"/>
                <w10:wrap type="none"/>
              </v:line>
            </w:pict>
          </mc:Fallback>
        </mc:AlternateConten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mc:AlternateContent>
        <mc:Choice Requires="wps">
          <w:drawing>
            <wp:anchor behindDoc="0" distT="0" distB="0" distL="114935" distR="114935" simplePos="0" locked="0" layoutInCell="0" allowOverlap="1" relativeHeight="4">
              <wp:simplePos x="0" y="0"/>
              <wp:positionH relativeFrom="column">
                <wp:posOffset>-457200</wp:posOffset>
              </wp:positionH>
              <wp:positionV relativeFrom="paragraph">
                <wp:posOffset>-548640</wp:posOffset>
              </wp:positionV>
              <wp:extent cx="6858000" cy="0"/>
              <wp:effectExtent l="0" t="5080" r="0" b="5080"/>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43.2pt" to="503.95pt,-43.2pt" stroked="t" o:allowincell="f" style="position:absolute">
              <v:stroke color="black" weight="9360" joinstyle="miter" endcap="flat"/>
              <v:fill o:detectmouseclick="t" on="false"/>
              <w10:wrap type="topAndBottom"/>
            </v:line>
          </w:pict>
        </mc:Fallback>
      </mc:AlternateContent>
    </w:r>
    <w:r>
      <mc:AlternateContent>
        <mc:Choice Requires="wps">
          <w:drawing>
            <wp:anchor behindDoc="1" distT="0" distB="0" distL="114935" distR="114935" simplePos="0" locked="0" layoutInCell="1" allowOverlap="1" relativeHeight="2">
              <wp:simplePos x="0" y="0"/>
              <wp:positionH relativeFrom="column">
                <wp:posOffset>3383280</wp:posOffset>
              </wp:positionH>
              <wp:positionV relativeFrom="paragraph">
                <wp:posOffset>-457200</wp:posOffset>
              </wp:positionV>
              <wp:extent cx="3017520" cy="800100"/>
              <wp:effectExtent l="0" t="0" r="0" b="0"/>
              <wp:wrapNone/>
              <wp:docPr id="2" name="Frame2"/>
              <a:graphic xmlns:a="http://schemas.openxmlformats.org/drawingml/2006/main">
                <a:graphicData uri="http://schemas.microsoft.com/office/word/2010/wordprocessingShape">
                  <wps:wsp>
                    <wps:cNvSpPr txBox="1"/>
                    <wps:spPr>
                      <a:xfrm>
                        <a:off x="0" y="0"/>
                        <a:ext cx="3017520" cy="800100"/>
                      </a:xfrm>
                      <a:prstGeom prst="rect"/>
                      <a:solidFill>
                        <a:srgbClr val="FFFFFF"/>
                      </a:solidFill>
                    </wps:spPr>
                    <wps:txbx>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wps:txbx>
                    <wps:bodyPr anchor="t" lIns="92075" tIns="46355" rIns="92075" bIns="46355">
                      <a:noAutofit/>
                    </wps:bodyPr>
                  </wps:wsp>
                </a:graphicData>
              </a:graphic>
            </wp:anchor>
          </w:drawing>
        </mc:Choice>
        <mc:Fallback>
          <w:pict>
            <v:rect fillcolor="#FFFFFF" style="position:absolute;rotation:-0;width:237.6pt;height:63pt;mso-wrap-distance-left:9.05pt;mso-wrap-distance-right:9.05pt;mso-wrap-distance-top:0pt;mso-wrap-distance-bottom:0pt;margin-top:-36pt;mso-position-vertical-relative:text;margin-left:266.4pt;mso-position-horizontal-relative:text">
              <v:textbox inset="0.100694444444444in,0.0506944444444444in,0.100694444444444in,0.0506944444444444in">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v:textbox>
              <w10:wrap type="non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-457200</wp:posOffset>
              </wp:positionH>
              <wp:positionV relativeFrom="paragraph">
                <wp:posOffset>-457200</wp:posOffset>
              </wp:positionV>
              <wp:extent cx="3383280" cy="640080"/>
              <wp:effectExtent l="0" t="0" r="0" b="0"/>
              <wp:wrapNone/>
              <wp:docPr id="3" name="Frame1"/>
              <a:graphic xmlns:a="http://schemas.openxmlformats.org/drawingml/2006/main">
                <a:graphicData uri="http://schemas.microsoft.com/office/word/2010/wordprocessingShape">
                  <wps:wsp>
                    <wps:cNvSpPr txBox="1"/>
                    <wps:spPr>
                      <a:xfrm>
                        <a:off x="0" y="0"/>
                        <a:ext cx="3383280" cy="640080"/>
                      </a:xfrm>
                      <a:prstGeom prst="rect"/>
                      <a:solidFill>
                        <a:srgbClr val="FFFFFF"/>
                      </a:solidFill>
                    </wps:spPr>
                    <wps:txbx>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44-207-330-3550    Facsimile: 44-207-330-3555</w:t>
                          </w:r>
                        </w:p>
                      </w:txbxContent>
                    </wps:txbx>
                    <wps:bodyPr anchor="t" lIns="92075" tIns="46355" rIns="92075" bIns="46355">
                      <a:noAutofit/>
                    </wps:bodyPr>
                  </wps:wsp>
                </a:graphicData>
              </a:graphic>
            </wp:anchor>
          </w:drawing>
        </mc:Choice>
        <mc:Fallback>
          <w:pict>
            <v:rect fillcolor="#FFFFFF" style="position:absolute;rotation:-0;width:266.4pt;height:50.4pt;mso-wrap-distance-left:9.05pt;mso-wrap-distance-right:9.05pt;mso-wrap-distance-top:0pt;mso-wrap-distance-bottom:0pt;margin-top:-36pt;mso-position-vertical-relative:text;margin-left:-36pt;mso-position-horizontal-relative:text">
              <v:textbox inset="0.100694444444444in,0.0506944444444444in,0.100694444444444in,0.0506944444444444in">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44-207-330-3550    Facsimile: 44-207-330-3555</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sz w:val="24"/>
      </w:rPr>
      <w:fldChar w:fldCharType="begin"/>
    </w:r>
    <w:r>
      <w:rPr>
        <w:rStyle w:val="PageNumber"/>
        <w:sz w:val="24"/>
        <w:b/>
      </w:rPr>
      <w:instrText xml:space="preserve"> PAGE </w:instrText>
    </w:r>
    <w:r>
      <w:rPr>
        <w:rStyle w:val="PageNumber"/>
        <w:sz w:val="24"/>
        <w:b/>
      </w:rPr>
      <w:fldChar w:fldCharType="separate"/>
    </w:r>
    <w:r>
      <w:rPr>
        <w:rStyle w:val="PageNumber"/>
        <w:sz w:val="24"/>
        <w:b/>
      </w:rPr>
      <w:t>5</w:t>
    </w:r>
    <w:r>
      <w:rPr>
        <w:rStyle w:val="PageNumber"/>
        <w:sz w:val="24"/>
        <w:b/>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 third approach, the so-called bridge approach, uses one master agreement in essence as a master master. This is achieved by taking the close-out value under one agreement (e.g., a repo master) and treating it as part of the close-out process of another agreement (e.g., the ISDA Master Agreement). ISDA is considering establishing bridges between its Master Agreement and several industry documents, but it is probably best to view this approach as a temporary measure while pursuing the possibility of a single agreement.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pPr>
    <w:r>
      <w:rPr>
        <w:b w:val="false"/>
        <w:sz w:val="96"/>
      </w:rPr>
      <w:t>ISDA</w:t>
    </w:r>
    <w:r>
      <w:rPr>
        <w:b w:val="false"/>
      </w:rPr>
      <w:t xml:space="preserve"> I</w:t>
    </w:r>
    <w:r>
      <w:rPr>
        <w:b w:val="false"/>
        <w:caps w:val="false"/>
        <w:smallCaps w:val="false"/>
      </w:rPr>
      <w:t>nternational Swaps and Derivatives Association, Inc.</w:t>
    </w:r>
  </w:p>
  <w:p>
    <w:pPr>
      <w:pStyle w:val="Header"/>
      <w:ind w:start="-720" w:end="0"/>
      <w:rPr/>
    </w:pPr>
    <w:r>
      <w:rPr>
        <w:b w:val="false"/>
        <w:caps w:val="false"/>
        <w:smallCaps w:val="false"/>
      </w:rPr>
      <w:t>600 Fifth Avenue, 27</w:t>
    </w:r>
    <w:r>
      <w:rPr>
        <w:b w:val="false"/>
        <w:caps w:val="false"/>
        <w:smallCaps w:val="false"/>
        <w:vertAlign w:val="superscript"/>
      </w:rPr>
      <w:t>th</w:t>
    </w:r>
    <w:r>
      <w:rPr>
        <w:b w:val="false"/>
        <w:caps w:val="false"/>
        <w:smallCaps w:val="false"/>
      </w:rPr>
      <w:t xml:space="preserve"> Floor</w:t>
    </w:r>
  </w:p>
  <w:p>
    <w:pPr>
      <w:pStyle w:val="Header"/>
      <w:ind w:start="-720" w:end="0"/>
      <w:rPr>
        <w:b w:val="false"/>
        <w:caps w:val="false"/>
        <w:smallCaps w:val="false"/>
      </w:rPr>
    </w:pPr>
    <w:r>
      <w:rPr>
        <w:b w:val="false"/>
        <w:caps w:val="false"/>
        <w:smallCaps w:val="false"/>
      </w:rPr>
      <w:t>Rockefeller Center</w:t>
    </w:r>
  </w:p>
  <w:p>
    <w:pPr>
      <w:pStyle w:val="Header"/>
      <w:ind w:start="-720" w:end="0"/>
      <w:rPr>
        <w:b w:val="false"/>
        <w:caps w:val="false"/>
        <w:smallCaps w:val="false"/>
      </w:rPr>
    </w:pPr>
    <w:r>
      <w:rPr>
        <w:b w:val="false"/>
        <w:caps w:val="false"/>
        <w:smallCaps w:val="false"/>
      </w:rPr>
      <w:t>New York, NY 10020-2302</w:t>
    </w:r>
  </w:p>
  <w:p>
    <w:pPr>
      <w:pStyle w:val="Header"/>
      <w:ind w:start="-720" w:end="0"/>
      <w:rPr>
        <w:b w:val="false"/>
        <w:caps w:val="false"/>
        <w:smallCaps w:val="false"/>
      </w:rPr>
    </w:pPr>
    <w:r>
      <w:rPr>
        <w:b w:val="false"/>
        <w:caps w:val="false"/>
        <w:smallCaps w:val="false"/>
      </w:rPr>
      <w:t>Telephone: (212) 332-1200</w:t>
    </w:r>
  </w:p>
  <w:p>
    <w:pPr>
      <w:pStyle w:val="Header"/>
      <w:ind w:start="-720" w:end="0"/>
      <w:rPr>
        <w:b w:val="false"/>
        <w:caps w:val="false"/>
        <w:smallCaps w:val="false"/>
      </w:rPr>
    </w:pPr>
    <w:r>
      <w:rPr>
        <w:b w:val="false"/>
        <w:caps w:val="false"/>
        <w:smallCaps w:val="false"/>
      </w:rPr>
      <w:t>Facsimile: (212) 332-1212</w:t>
    </w:r>
  </w:p>
  <w:p>
    <w:pPr>
      <w:pStyle w:val="Header"/>
      <w:ind w:start="-720" w:end="0"/>
      <w:rPr>
        <w:b w:val="false"/>
        <w:caps w:val="false"/>
        <w:smallCaps w:val="false"/>
      </w:rPr>
    </w:pPr>
    <w:r>
      <w:rPr>
        <w:b w:val="false"/>
        <w:caps w:val="false"/>
        <w:smallCaps w:val="false"/>
      </w:rPr>
      <w:t>email: isda@isda.org</w:t>
    </w:r>
  </w:p>
  <w:p>
    <w:pPr>
      <w:pStyle w:val="Header"/>
      <w:ind w:start="-720" w:end="0"/>
      <w:rPr>
        <w:b w:val="false"/>
        <w:caps w:val="false"/>
        <w:smallCaps w:val="false"/>
      </w:rPr>
    </w:pPr>
    <w:r>
      <w:rPr>
        <w:b w:val="false"/>
        <w:caps w:val="false"/>
        <w:smallCaps w:val="false"/>
      </w:rPr>
      <w:t>website: www.isda.org</w:t>
    </w:r>
  </w:p>
  <w:p>
    <w:pPr>
      <w:pStyle w:val="Header"/>
      <w:rPr>
        <w:b w:val="false"/>
        <w:caps w:val="false"/>
        <w:smallCaps w:val="false"/>
      </w:rPr>
    </w:pPr>
    <w:r>
      <w:rPr>
        <w:b w:val="false"/>
        <w:caps w:val="false"/>
        <w:smallCaps w:val="fals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rPr>
    </w:pPr>
    <w:r>
      <w:rPr>
        <w:b w:val="fals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aps/>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val="false"/>
      <w:smallCaps w:val="false"/>
    </w:rPr>
  </w:style>
  <w:style w:type="paragraph" w:styleId="Heading4">
    <w:name w:val="heading 4"/>
    <w:basedOn w:val="Normal"/>
    <w:next w:val="Normal"/>
    <w:qFormat/>
    <w:pPr>
      <w:keepNext w:val="true"/>
      <w:numPr>
        <w:ilvl w:val="3"/>
        <w:numId w:val="1"/>
      </w:numPr>
      <w:jc w:val="center"/>
      <w:outlineLvl w:val="3"/>
    </w:pPr>
    <w:rPr>
      <w:caps w:val="false"/>
      <w:smallCaps w:val="false"/>
      <w:sz w:val="24"/>
    </w:rPr>
  </w:style>
  <w:style w:type="paragraph" w:styleId="Heading6">
    <w:name w:val="heading 6"/>
    <w:basedOn w:val="Normal"/>
    <w:next w:val="Normal"/>
    <w:qFormat/>
    <w:pPr>
      <w:keepNext w:val="true"/>
      <w:numPr>
        <w:ilvl w:val="5"/>
        <w:numId w:val="1"/>
      </w:numPr>
      <w:ind w:hanging="0" w:start="1440" w:end="0"/>
      <w:outlineLvl w:val="5"/>
    </w:pPr>
    <w:rPr>
      <w:b w:val="false"/>
      <w:caps w:val="false"/>
      <w:smallCaps w:val="false"/>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val="false"/>
      <w:caps w:val="false"/>
      <w:smallCaps w:val="false"/>
      <w:sz w:val="24"/>
    </w:rPr>
  </w:style>
  <w:style w:type="paragraph" w:styleId="FootnoteText">
    <w:name w:val="footnote text"/>
    <w:basedOn w:val="Normal"/>
    <w:pPr/>
    <w:rPr>
      <w:b w:val="false"/>
      <w:caps w:val="false"/>
      <w:smallCaps w:val="fals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2000-09-19T10:50:00Z</dcterms:created>
  <dc:creator>Milton Bellis</dc:creator>
  <dc:description/>
  <dc:language>en-CA</dc:language>
  <cp:lastModifiedBy>Robert Pickel</cp:lastModifiedBy>
  <cp:lastPrinted>2000-09-06T16:53:00Z</cp:lastPrinted>
  <dcterms:modified xsi:type="dcterms:W3CDTF">2000-09-19T10:50:00Z</dcterms:modified>
  <cp:revision>2</cp:revision>
  <dc:subject/>
  <dc:title>________________________________________________________________________</dc:title>
</cp:coreProperties>
</file>