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rPr/>
      </w:pPr>
      <w:r>
        <w:rPr/>
        <w:t>RYAN JOSHUA BARNARD</w:t>
      </w:r>
    </w:p>
    <w:p>
      <w:pPr>
        <w:pStyle w:val="Normal"/>
        <w:jc w:val="both"/>
        <w:rPr>
          <w:rFonts w:ascii="Book Antiqua" w:hAnsi="Book Antiqua" w:cs="Book Antiqua"/>
          <w:color w:val="000000"/>
          <w:sz w:val="22"/>
        </w:rPr>
      </w:pPr>
      <w:r>
        <w:rPr>
          <w:rFonts w:cs="Book Antiqua" w:ascii="Book Antiqua" w:hAnsi="Book Antiqua"/>
          <w:sz w:val="22"/>
        </w:rPr>
        <w:t xml:space="preserve">21450 SW Cayuse Court </w:t>
      </w:r>
      <w:r>
        <w:rPr>
          <w:rFonts w:eastAsia="Symbol" w:cs="Symbol" w:ascii="Symbol" w:hAnsi="Symbol"/>
          <w:sz w:val="22"/>
        </w:rPr>
        <w:sym w:font="Symbol" w:char="f0b7"/>
      </w:r>
      <w:r>
        <w:rPr>
          <w:rFonts w:cs="Book Antiqua" w:ascii="Book Antiqua" w:hAnsi="Book Antiqua"/>
          <w:sz w:val="22"/>
        </w:rPr>
        <w:t xml:space="preserve"> Tualatin, OR 97062 </w:t>
      </w:r>
      <w:r>
        <w:rPr>
          <w:rFonts w:eastAsia="Symbol" w:cs="Symbol" w:ascii="Symbol" w:hAnsi="Symbol"/>
          <w:sz w:val="22"/>
        </w:rPr>
        <w:sym w:font="Symbol" w:char="f0b7"/>
      </w:r>
      <w:r>
        <w:rPr>
          <w:rFonts w:cs="Book Antiqua" w:ascii="Book Antiqua" w:hAnsi="Book Antiqua"/>
          <w:sz w:val="22"/>
        </w:rPr>
        <w:t xml:space="preserve"> (503) 885-1045 </w:t>
      </w:r>
      <w:r>
        <w:rPr>
          <w:rFonts w:eastAsia="Symbol" w:cs="Symbol" w:ascii="Symbol" w:hAnsi="Symbol"/>
          <w:sz w:val="22"/>
        </w:rPr>
        <w:sym w:font="Symbol" w:char="f0b7"/>
      </w:r>
      <w:r>
        <w:rPr>
          <w:rFonts w:cs="Book Antiqua" w:ascii="Book Antiqua" w:hAnsi="Book Antiqua"/>
          <w:sz w:val="22"/>
        </w:rPr>
        <w:t xml:space="preserve"> </w:t>
      </w:r>
      <w:hyperlink r:id="rId2">
        <w:r>
          <w:rPr>
            <w:rStyle w:val="Hyperlink"/>
            <w:rFonts w:cs="Book Antiqua" w:ascii="Book Antiqua" w:hAnsi="Book Antiqua"/>
            <w:color w:val="000000"/>
            <w:sz w:val="22"/>
            <w:u w:val="none"/>
          </w:rPr>
          <w:t>thechairman7@mindspring.com</w:t>
        </w:r>
      </w:hyperlink>
    </w:p>
    <w:p>
      <w:pPr>
        <w:pStyle w:val="Normal"/>
        <w:jc w:val="both"/>
        <w:rPr>
          <w:rFonts w:ascii="Book Antiqua" w:hAnsi="Book Antiqua" w:cs="Book Antiqua"/>
          <w:color w:val="000000"/>
          <w:sz w:val="22"/>
          <w:lang w:val="en-CA" w:eastAsia="en-CA"/>
        </w:rPr>
      </w:pPr>
      <w:r>
        <w:rPr>
          <w:rFonts w:cs="Book Antiqua" w:ascii="Book Antiqua" w:hAnsi="Book Antiqua"/>
          <w:color w:val="000000"/>
          <w:sz w:val="22"/>
          <w:lang w:val="en-CA" w:eastAsia="en-CA"/>
        </w:rPr>
        <mc:AlternateContent>
          <mc:Choice Requires="wps">
            <w:drawing>
              <wp:anchor behindDoc="0" distT="0" distB="0" distL="114935" distR="114935" simplePos="0" locked="0" layoutInCell="1" allowOverlap="1" relativeHeight="2">
                <wp:simplePos x="0" y="0"/>
                <wp:positionH relativeFrom="column">
                  <wp:posOffset>0</wp:posOffset>
                </wp:positionH>
                <wp:positionV relativeFrom="paragraph">
                  <wp:posOffset>1905</wp:posOffset>
                </wp:positionV>
                <wp:extent cx="6400800" cy="0"/>
                <wp:effectExtent l="0" t="19050" r="0" b="19050"/>
                <wp:wrapNone/>
                <wp:docPr id="1" name=""/>
                <a:graphic xmlns:a="http://schemas.openxmlformats.org/drawingml/2006/main">
                  <a:graphicData uri="http://schemas.microsoft.com/office/word/2010/wordprocessingShape">
                    <wps:wsp>
                      <wps:cNvSpPr/>
                      <wps:spPr>
                        <a:xfrm>
                          <a:off x="0" y="0"/>
                          <a:ext cx="6400800" cy="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0pt,0.15pt" to="503.95pt,0.15pt" stroked="t" o:allowincell="f" style="position:absolute">
                <v:stroke color="black" weight="38160" joinstyle="miter" endcap="flat"/>
                <v:fill o:detectmouseclick="t" on="false"/>
                <w10:wrap type="none"/>
              </v:line>
            </w:pict>
          </mc:Fallback>
        </mc:AlternateContent>
      </w:r>
    </w:p>
    <w:p>
      <w:pPr>
        <w:pStyle w:val="Heading2"/>
        <w:ind w:hanging="0" w:start="0"/>
        <w:jc w:val="both"/>
        <w:rPr/>
      </w:pPr>
      <w:r>
        <w:rPr>
          <w:caps/>
          <w:sz w:val="24"/>
        </w:rPr>
        <w:t>Objective</w:t>
      </w:r>
      <w:r>
        <w:rPr>
          <w:b w:val="false"/>
          <w:bCs w:val="false"/>
        </w:rPr>
        <w:t>_______________________________________________________________________________</w:t>
      </w:r>
    </w:p>
    <w:p>
      <w:pPr>
        <w:pStyle w:val="BodyText"/>
        <w:jc w:val="both"/>
        <w:rPr/>
      </w:pPr>
      <w:r>
        <w:rPr/>
        <w:t>Motivated professional seeking a trading position with a company in the Power Industry.</w:t>
      </w:r>
    </w:p>
    <w:p>
      <w:pPr>
        <w:pStyle w:val="Normal"/>
        <w:jc w:val="both"/>
        <w:rPr>
          <w:rFonts w:ascii="Book Antiqua" w:hAnsi="Book Antiqua" w:cs="Book Antiqua"/>
          <w:sz w:val="22"/>
        </w:rPr>
      </w:pPr>
      <w:r>
        <w:rPr>
          <w:rFonts w:cs="Book Antiqua" w:ascii="Book Antiqua" w:hAnsi="Book Antiqua"/>
          <w:sz w:val="22"/>
        </w:rPr>
      </w:r>
    </w:p>
    <w:p>
      <w:pPr>
        <w:pStyle w:val="Heading2"/>
        <w:ind w:hanging="0" w:start="0"/>
        <w:jc w:val="both"/>
        <w:rPr/>
      </w:pPr>
      <w:r>
        <w:rPr>
          <w:caps/>
          <w:sz w:val="24"/>
        </w:rPr>
        <w:t>Profile</w:t>
        <w:softHyphen/>
      </w:r>
      <w:r>
        <w:rPr>
          <w:b w:val="false"/>
          <w:bCs w:val="false"/>
        </w:rPr>
        <w:t>__________________________________________________________________________________</w:t>
      </w:r>
    </w:p>
    <w:p>
      <w:pPr>
        <w:pStyle w:val="Normal"/>
        <w:jc w:val="both"/>
        <w:rPr>
          <w:rFonts w:ascii="Book Antiqua" w:hAnsi="Book Antiqua" w:cs="Book Antiqua"/>
          <w:sz w:val="22"/>
        </w:rPr>
      </w:pPr>
      <w:r>
        <w:rPr>
          <w:rFonts w:cs="Book Antiqua" w:ascii="Book Antiqua" w:hAnsi="Book Antiqua"/>
          <w:sz w:val="22"/>
        </w:rPr>
        <w:t xml:space="preserve">Achievement oriented financial professional with diversified experience in the trading of securities, management of brokerage accounts, negotiating agreements, corresponding with professionals, and corporate mergers.  Strong PC/Spreadsheet skills, excellent multi-tasking and organizational aptitudes, and proven ability to work under time restrictions.  An effective communicator with the ability to recognize and solve problems. </w:t>
      </w:r>
    </w:p>
    <w:p>
      <w:pPr>
        <w:pStyle w:val="Normal"/>
        <w:jc w:val="both"/>
        <w:rPr>
          <w:rFonts w:ascii="Book Antiqua" w:hAnsi="Book Antiqua" w:cs="Book Antiqua"/>
          <w:sz w:val="22"/>
        </w:rPr>
      </w:pPr>
      <w:r>
        <w:rPr>
          <w:rFonts w:cs="Book Antiqua" w:ascii="Book Antiqua" w:hAnsi="Book Antiqua"/>
          <w:sz w:val="22"/>
        </w:rPr>
      </w:r>
    </w:p>
    <w:p>
      <w:pPr>
        <w:sectPr>
          <w:footerReference w:type="default" r:id="rId3"/>
          <w:footerReference w:type="first" r:id="rId4"/>
          <w:type w:val="nextPage"/>
          <w:pgSz w:w="12240" w:h="15840"/>
          <w:pgMar w:left="1080" w:right="1080" w:gutter="0" w:header="0" w:top="1080" w:footer="720" w:bottom="1080"/>
          <w:pgBorders w:display="allPages" w:offsetFrom="text">
            <w:top w:val="single" w:sz="12" w:space="23" w:color="000000"/>
            <w:left w:val="single" w:sz="12" w:space="29" w:color="000000"/>
            <w:bottom w:val="single" w:sz="12" w:space="5" w:color="000000"/>
            <w:right w:val="single" w:sz="12" w:space="29" w:color="000000"/>
          </w:pgBorders>
          <w:pgNumType w:fmt="decimal"/>
          <w:formProt w:val="false"/>
          <w:titlePg/>
          <w:textDirection w:val="lrTb"/>
          <w:docGrid w:type="default" w:linePitch="360" w:charSpace="0"/>
        </w:sectPr>
      </w:pPr>
    </w:p>
    <w:p>
      <w:pPr>
        <w:pStyle w:val="Heading3"/>
        <w:ind w:hanging="0" w:start="0"/>
        <w:rPr/>
      </w:pPr>
      <w:r>
        <w:rPr>
          <w:caps/>
          <w:sz w:val="24"/>
        </w:rPr>
        <w:t>Experience</w:t>
      </w:r>
      <w:r>
        <w:rPr>
          <w:b w:val="false"/>
          <w:bCs w:val="false"/>
        </w:rPr>
        <w:t>_____________________________________________________________________________</w:t>
      </w:r>
    </w:p>
    <w:p>
      <w:pPr>
        <w:pStyle w:val="Normal"/>
        <w:jc w:val="both"/>
        <w:rPr/>
      </w:pPr>
      <w:r>
        <w:rPr>
          <w:rFonts w:cs="Book Antiqua" w:ascii="Book Antiqua" w:hAnsi="Book Antiqua"/>
          <w:caps/>
          <w:sz w:val="22"/>
        </w:rPr>
        <w:t>Sequoia Holdings LLC</w:t>
      </w:r>
      <w:r>
        <w:rPr>
          <w:rFonts w:cs="Book Antiqua" w:ascii="Book Antiqua" w:hAnsi="Book Antiqua"/>
          <w:sz w:val="22"/>
        </w:rPr>
        <w:t xml:space="preserve">, </w:t>
      </w:r>
      <w:r>
        <w:rPr>
          <w:rFonts w:cs="Book Antiqua" w:ascii="Book Antiqua" w:hAnsi="Book Antiqua"/>
          <w:b/>
          <w:bCs/>
          <w:sz w:val="22"/>
        </w:rPr>
        <w:t>Manager, Trader</w:t>
      </w:r>
      <w:r>
        <w:rPr>
          <w:rFonts w:cs="Book Antiqua" w:ascii="Book Antiqua" w:hAnsi="Book Antiqua"/>
          <w:sz w:val="22"/>
        </w:rPr>
        <w:t>, September 2000 to May 2001</w:t>
      </w:r>
    </w:p>
    <w:p>
      <w:pPr>
        <w:pStyle w:val="BodyText3"/>
        <w:tabs>
          <w:tab w:val="clear" w:pos="1020"/>
        </w:tabs>
        <w:rPr/>
      </w:pPr>
      <w:r>
        <w:rPr/>
        <w:t>A small investment company created and operated by myself to be a holding company for investment securities.</w:t>
      </w:r>
    </w:p>
    <w:p>
      <w:pPr>
        <w:pStyle w:val="Normal"/>
        <w:numPr>
          <w:ilvl w:val="0"/>
          <w:numId w:val="4"/>
        </w:numPr>
        <w:jc w:val="both"/>
        <w:rPr>
          <w:rFonts w:ascii="Book Antiqua" w:hAnsi="Book Antiqua" w:cs="Book Antiqua"/>
          <w:sz w:val="22"/>
        </w:rPr>
      </w:pPr>
      <w:r>
        <w:rPr>
          <w:rFonts w:cs="Book Antiqua" w:ascii="Book Antiqua" w:hAnsi="Book Antiqua"/>
          <w:sz w:val="22"/>
        </w:rPr>
        <w:t>Responsible for daily monitoring of market activity, including quarterly reports, corporate news and announcements, fed rate cuts/hikes, and any other activities affecting the market.</w:t>
      </w:r>
    </w:p>
    <w:p>
      <w:pPr>
        <w:pStyle w:val="Normal"/>
        <w:numPr>
          <w:ilvl w:val="0"/>
          <w:numId w:val="4"/>
        </w:numPr>
        <w:jc w:val="both"/>
        <w:rPr>
          <w:rFonts w:ascii="Book Antiqua" w:hAnsi="Book Antiqua" w:cs="Book Antiqua"/>
          <w:sz w:val="22"/>
        </w:rPr>
      </w:pPr>
      <w:r>
        <w:rPr>
          <w:rFonts w:cs="Book Antiqua" w:ascii="Book Antiqua" w:hAnsi="Book Antiqua"/>
          <w:sz w:val="22"/>
        </w:rPr>
        <w:t>Maintained a portfolio of large cap stocks, buying and selling securities when a market move indicated a chance for short-term gain.</w:t>
      </w:r>
    </w:p>
    <w:p>
      <w:pPr>
        <w:pStyle w:val="Normal"/>
        <w:numPr>
          <w:ilvl w:val="0"/>
          <w:numId w:val="4"/>
        </w:numPr>
        <w:jc w:val="both"/>
        <w:rPr>
          <w:rFonts w:ascii="Book Antiqua" w:hAnsi="Book Antiqua" w:cs="Book Antiqua"/>
          <w:sz w:val="22"/>
        </w:rPr>
      </w:pPr>
      <w:r>
        <w:rPr>
          <w:rFonts w:cs="Book Antiqua" w:ascii="Book Antiqua" w:hAnsi="Book Antiqua"/>
          <w:sz w:val="22"/>
        </w:rPr>
        <w:t>Created necessary filings for the State of Nevada to incorporate Sequoia Holdings LLC.  Filed necessary paperwork with the State of Oregon to do business here.</w:t>
      </w:r>
    </w:p>
    <w:p>
      <w:pPr>
        <w:pStyle w:val="Normal"/>
        <w:numPr>
          <w:ilvl w:val="0"/>
          <w:numId w:val="4"/>
        </w:numPr>
        <w:jc w:val="both"/>
        <w:rPr>
          <w:rFonts w:ascii="Book Antiqua" w:hAnsi="Book Antiqua" w:cs="Book Antiqua"/>
          <w:caps/>
          <w:sz w:val="22"/>
        </w:rPr>
      </w:pPr>
      <w:r>
        <w:rPr>
          <w:rFonts w:cs="Book Antiqua" w:ascii="Book Antiqua" w:hAnsi="Book Antiqua"/>
          <w:sz w:val="22"/>
        </w:rPr>
        <w:t>From September 2000 to May 2001 the stock market was very volatile, the Dow Jones Industrial Average had decreased three percent, while in the same time period Sequoia Holdings account had an increased 20 percent.</w:t>
      </w:r>
    </w:p>
    <w:p>
      <w:pPr>
        <w:pStyle w:val="Normal"/>
        <w:tabs>
          <w:tab w:val="clear" w:pos="720"/>
          <w:tab w:val="left" w:pos="1020" w:leader="none"/>
        </w:tabs>
        <w:jc w:val="both"/>
        <w:rPr>
          <w:rFonts w:ascii="Book Antiqua" w:hAnsi="Book Antiqua" w:cs="Book Antiqua"/>
          <w:caps/>
          <w:sz w:val="22"/>
        </w:rPr>
      </w:pPr>
      <w:r>
        <w:rPr>
          <w:rFonts w:cs="Book Antiqua" w:ascii="Book Antiqua" w:hAnsi="Book Antiqua"/>
          <w:caps/>
          <w:sz w:val="22"/>
        </w:rPr>
      </w:r>
    </w:p>
    <w:p>
      <w:pPr>
        <w:pStyle w:val="Normal"/>
        <w:tabs>
          <w:tab w:val="clear" w:pos="720"/>
          <w:tab w:val="left" w:pos="1020" w:leader="none"/>
        </w:tabs>
        <w:jc w:val="both"/>
        <w:rPr/>
      </w:pPr>
      <w:r>
        <w:rPr>
          <w:rFonts w:cs="Book Antiqua" w:ascii="Book Antiqua" w:hAnsi="Book Antiqua"/>
          <w:caps/>
          <w:sz w:val="22"/>
        </w:rPr>
        <w:t xml:space="preserve">Executive Business Service, </w:t>
      </w:r>
      <w:r>
        <w:rPr>
          <w:rFonts w:cs="Book Antiqua" w:ascii="Book Antiqua" w:hAnsi="Book Antiqua"/>
          <w:b/>
          <w:bCs/>
          <w:sz w:val="22"/>
        </w:rPr>
        <w:t>Operations Manager</w:t>
      </w:r>
      <w:r>
        <w:rPr>
          <w:rFonts w:cs="Book Antiqua" w:ascii="Book Antiqua" w:hAnsi="Book Antiqua"/>
          <w:sz w:val="22"/>
        </w:rPr>
        <w:t>, October 1996 to May 2001</w:t>
      </w:r>
    </w:p>
    <w:p>
      <w:pPr>
        <w:pStyle w:val="BodyText3"/>
        <w:rPr/>
      </w:pPr>
      <w:r>
        <w:rPr/>
        <w:t xml:space="preserve">A small financial company, providing companies the opportunity to become publicly traded through a reverse merger. </w:t>
      </w:r>
    </w:p>
    <w:p>
      <w:pPr>
        <w:pStyle w:val="Normal"/>
        <w:numPr>
          <w:ilvl w:val="0"/>
          <w:numId w:val="3"/>
        </w:numPr>
        <w:tabs>
          <w:tab w:val="clear" w:pos="720"/>
          <w:tab w:val="left" w:pos="1020" w:leader="none"/>
        </w:tabs>
        <w:jc w:val="both"/>
        <w:rPr>
          <w:rFonts w:ascii="Book Antiqua" w:hAnsi="Book Antiqua" w:cs="Book Antiqua"/>
          <w:caps/>
          <w:sz w:val="22"/>
        </w:rPr>
      </w:pPr>
      <w:r>
        <w:rPr>
          <w:rFonts w:cs="Book Antiqua" w:ascii="Book Antiqua" w:hAnsi="Book Antiqua"/>
          <w:caps/>
          <w:sz w:val="22"/>
        </w:rPr>
        <w:t>F</w:t>
      </w:r>
      <w:r>
        <w:rPr>
          <w:rFonts w:cs="Book Antiqua" w:ascii="Book Antiqua" w:hAnsi="Book Antiqua"/>
          <w:sz w:val="22"/>
        </w:rPr>
        <w:t>rom 1997 to 2000 responsible for the completion of twelve reverse mergers.</w:t>
      </w:r>
    </w:p>
    <w:p>
      <w:pPr>
        <w:pStyle w:val="Normal"/>
        <w:numPr>
          <w:ilvl w:val="0"/>
          <w:numId w:val="2"/>
        </w:numPr>
        <w:jc w:val="both"/>
        <w:rPr>
          <w:rFonts w:ascii="Book Antiqua" w:hAnsi="Book Antiqua" w:cs="Book Antiqua"/>
          <w:caps/>
          <w:sz w:val="22"/>
        </w:rPr>
      </w:pPr>
      <w:r>
        <w:rPr>
          <w:rFonts w:cs="Book Antiqua" w:ascii="Book Antiqua" w:hAnsi="Book Antiqua"/>
          <w:sz w:val="22"/>
        </w:rPr>
        <w:t>Managed several brokerage accounts, overseeing trading activity, and trying to maintain a healthy trading market.</w:t>
      </w:r>
    </w:p>
    <w:p>
      <w:pPr>
        <w:pStyle w:val="Normal"/>
        <w:numPr>
          <w:ilvl w:val="0"/>
          <w:numId w:val="2"/>
        </w:numPr>
        <w:jc w:val="both"/>
        <w:rPr>
          <w:rFonts w:ascii="Book Antiqua" w:hAnsi="Book Antiqua" w:cs="Book Antiqua"/>
          <w:caps/>
          <w:sz w:val="22"/>
        </w:rPr>
      </w:pPr>
      <w:r>
        <w:rPr>
          <w:rFonts w:cs="Book Antiqua" w:ascii="Book Antiqua" w:hAnsi="Book Antiqua"/>
          <w:sz w:val="22"/>
        </w:rPr>
        <w:t xml:space="preserve">Negotiated merger terms with clients, determining an acceptable merger candidate, deciding the necessary number of shares, and creating a beneficial share purchase agreement. </w:t>
      </w:r>
    </w:p>
    <w:p>
      <w:pPr>
        <w:pStyle w:val="Normal"/>
        <w:numPr>
          <w:ilvl w:val="0"/>
          <w:numId w:val="2"/>
        </w:numPr>
        <w:jc w:val="both"/>
        <w:rPr>
          <w:rFonts w:ascii="Book Antiqua" w:hAnsi="Book Antiqua" w:cs="Book Antiqua"/>
          <w:caps/>
          <w:sz w:val="22"/>
        </w:rPr>
      </w:pPr>
      <w:r>
        <w:rPr>
          <w:rFonts w:cs="Book Antiqua" w:ascii="Book Antiqua" w:hAnsi="Book Antiqua"/>
          <w:sz w:val="22"/>
        </w:rPr>
        <w:t>Corresponding with attorneys, preparing and completing merger documents and share purchase agreements, and establishing escrow accounts.</w:t>
      </w:r>
    </w:p>
    <w:p>
      <w:pPr>
        <w:pStyle w:val="Normal"/>
        <w:numPr>
          <w:ilvl w:val="0"/>
          <w:numId w:val="2"/>
        </w:numPr>
        <w:jc w:val="both"/>
        <w:rPr>
          <w:rFonts w:ascii="Book Antiqua" w:hAnsi="Book Antiqua" w:cs="Book Antiqua"/>
          <w:caps/>
          <w:sz w:val="22"/>
        </w:rPr>
      </w:pPr>
      <w:r>
        <w:rPr>
          <w:rFonts w:cs="Book Antiqua" w:ascii="Book Antiqua" w:hAnsi="Book Antiqua"/>
          <w:sz w:val="22"/>
        </w:rPr>
        <w:t>Corresponding with accountants, providing the proper documentation necessary to prepare and complete the annual/proforma financial statements.</w:t>
      </w:r>
    </w:p>
    <w:p>
      <w:pPr>
        <w:pStyle w:val="Normal"/>
        <w:numPr>
          <w:ilvl w:val="0"/>
          <w:numId w:val="2"/>
        </w:numPr>
        <w:jc w:val="both"/>
        <w:rPr>
          <w:rFonts w:ascii="Book Antiqua" w:hAnsi="Book Antiqua" w:cs="Book Antiqua"/>
          <w:caps/>
          <w:sz w:val="22"/>
        </w:rPr>
      </w:pPr>
      <w:r>
        <w:rPr>
          <w:rFonts w:cs="Book Antiqua" w:ascii="Book Antiqua" w:hAnsi="Book Antiqua"/>
          <w:sz w:val="22"/>
        </w:rPr>
        <w:t>Implemented significant changes in our reverse merger process that decreased the time a merger was completed from three to six months down to one month, if necessary.</w:t>
      </w:r>
    </w:p>
    <w:p>
      <w:pPr>
        <w:pStyle w:val="Normal"/>
        <w:numPr>
          <w:ilvl w:val="0"/>
          <w:numId w:val="2"/>
        </w:numPr>
        <w:jc w:val="both"/>
        <w:rPr>
          <w:rFonts w:ascii="Book Antiqua" w:hAnsi="Book Antiqua" w:cs="Book Antiqua"/>
          <w:caps/>
          <w:sz w:val="22"/>
        </w:rPr>
      </w:pPr>
      <w:r>
        <w:rPr>
          <w:rFonts w:cs="Book Antiqua" w:ascii="Book Antiqua" w:hAnsi="Book Antiqua"/>
          <w:sz w:val="22"/>
        </w:rPr>
        <w:t>Responsible for setting up remote access to the Nevada Corporations Database.  Researched the entire database every six months to locate possible merger candidates.</w:t>
      </w:r>
    </w:p>
    <w:p>
      <w:pPr>
        <w:pStyle w:val="Normal"/>
        <w:jc w:val="both"/>
        <w:rPr>
          <w:rFonts w:ascii="Book Antiqua" w:hAnsi="Book Antiqua" w:cs="Book Antiqua"/>
          <w:caps/>
          <w:sz w:val="22"/>
        </w:rPr>
      </w:pPr>
      <w:r>
        <w:rPr>
          <w:rFonts w:cs="Book Antiqua" w:ascii="Book Antiqua" w:hAnsi="Book Antiqua"/>
          <w:caps/>
          <w:sz w:val="22"/>
        </w:rPr>
      </w:r>
    </w:p>
    <w:p>
      <w:pPr>
        <w:pStyle w:val="Normal"/>
        <w:jc w:val="both"/>
        <w:rPr>
          <w:rFonts w:ascii="Book Antiqua" w:hAnsi="Book Antiqua" w:cs="Book Antiqua"/>
          <w:b/>
          <w:bCs/>
          <w:caps/>
          <w:sz w:val="22"/>
        </w:rPr>
      </w:pPr>
      <w:r>
        <w:rPr>
          <w:b/>
          <w:bCs/>
          <w:caps/>
        </w:rPr>
        <w:t>EDUCATION</w:t>
      </w:r>
      <w:r>
        <w:rPr>
          <w:b/>
          <w:bCs/>
        </w:rPr>
        <w:t>_______________________________________________________________________</w:t>
      </w:r>
    </w:p>
    <w:p>
      <w:pPr>
        <w:pStyle w:val="Normal"/>
        <w:jc w:val="both"/>
        <w:rPr/>
      </w:pPr>
      <w:r>
        <w:rPr>
          <w:rFonts w:cs="Book Antiqua" w:ascii="Book Antiqua" w:hAnsi="Book Antiqua"/>
          <w:caps/>
          <w:sz w:val="22"/>
        </w:rPr>
        <w:t>Linfield College</w:t>
      </w:r>
      <w:r>
        <w:rPr>
          <w:rFonts w:cs="Book Antiqua" w:ascii="Book Antiqua" w:hAnsi="Book Antiqua"/>
          <w:sz w:val="22"/>
        </w:rPr>
        <w:t xml:space="preserve"> – McMinnville, OR</w:t>
      </w:r>
    </w:p>
    <w:tbl>
      <w:tblPr>
        <w:tblW w:w="10044" w:type="dxa"/>
        <w:jc w:val="start"/>
        <w:tblInd w:w="144" w:type="dxa"/>
        <w:tblLayout w:type="fixed"/>
        <w:tblCellMar>
          <w:top w:w="0" w:type="dxa"/>
          <w:start w:w="108" w:type="dxa"/>
          <w:bottom w:w="0" w:type="dxa"/>
          <w:end w:w="108" w:type="dxa"/>
        </w:tblCellMar>
      </w:tblPr>
      <w:tblGrid>
        <w:gridCol w:w="1548"/>
        <w:gridCol w:w="2196"/>
        <w:gridCol w:w="3240"/>
        <w:gridCol w:w="3060"/>
      </w:tblGrid>
      <w:tr>
        <w:trPr>
          <w:trHeight w:val="157" w:hRule="atLeast"/>
        </w:trPr>
        <w:tc>
          <w:tcPr>
            <w:tcW w:w="1548" w:type="dxa"/>
            <w:tcBorders>
              <w:top w:val="single" w:sz="4" w:space="0" w:color="000000"/>
              <w:start w:val="single" w:sz="4" w:space="0" w:color="000000"/>
              <w:bottom w:val="single" w:sz="4" w:space="0" w:color="000000"/>
              <w:end w:val="single" w:sz="4" w:space="0" w:color="000000"/>
            </w:tcBorders>
          </w:tcPr>
          <w:p>
            <w:pPr>
              <w:pStyle w:val="Normal"/>
              <w:jc w:val="both"/>
              <w:rPr>
                <w:rFonts w:ascii="Book Antiqua" w:hAnsi="Book Antiqua" w:cs="Book Antiqua"/>
                <w:sz w:val="22"/>
              </w:rPr>
            </w:pPr>
            <w:r>
              <w:rPr>
                <w:rFonts w:cs="Book Antiqua" w:ascii="Book Antiqua" w:hAnsi="Book Antiqua"/>
                <w:sz w:val="22"/>
              </w:rPr>
              <w:t>Coursework:</w:t>
            </w:r>
          </w:p>
        </w:tc>
        <w:tc>
          <w:tcPr>
            <w:tcW w:w="2196" w:type="dxa"/>
            <w:tcBorders>
              <w:top w:val="single" w:sz="4" w:space="0" w:color="000000"/>
              <w:start w:val="single" w:sz="4" w:space="0" w:color="000000"/>
              <w:bottom w:val="single" w:sz="4" w:space="0" w:color="000000"/>
              <w:end w:val="single" w:sz="4" w:space="0" w:color="000000"/>
            </w:tcBorders>
            <w:vAlign w:val="center"/>
          </w:tcPr>
          <w:p>
            <w:pPr>
              <w:pStyle w:val="Normal"/>
              <w:ind w:start="360" w:end="0"/>
              <w:rPr>
                <w:rFonts w:ascii="Book Antiqua" w:hAnsi="Book Antiqua" w:cs="Book Antiqua"/>
                <w:sz w:val="22"/>
              </w:rPr>
            </w:pPr>
            <w:r>
              <w:rPr>
                <w:rFonts w:cs="Book Antiqua" w:ascii="Book Antiqua" w:hAnsi="Book Antiqua"/>
                <w:sz w:val="22"/>
              </w:rPr>
              <w:t>Accounting</w:t>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ind w:start="360" w:end="0"/>
              <w:rPr>
                <w:rFonts w:ascii="Book Antiqua" w:hAnsi="Book Antiqua" w:cs="Book Antiqua"/>
                <w:sz w:val="22"/>
              </w:rPr>
            </w:pPr>
            <w:r>
              <w:rPr>
                <w:rFonts w:cs="Book Antiqua" w:ascii="Book Antiqua" w:hAnsi="Book Antiqua"/>
                <w:sz w:val="22"/>
              </w:rPr>
              <w:t>Business Law</w:t>
            </w:r>
          </w:p>
        </w:tc>
        <w:tc>
          <w:tcPr>
            <w:tcW w:w="3060" w:type="dxa"/>
            <w:tcBorders>
              <w:top w:val="single" w:sz="4" w:space="0" w:color="000000"/>
              <w:start w:val="single" w:sz="4" w:space="0" w:color="000000"/>
              <w:bottom w:val="single" w:sz="4" w:space="0" w:color="000000"/>
              <w:end w:val="single" w:sz="4" w:space="0" w:color="000000"/>
            </w:tcBorders>
            <w:vAlign w:val="center"/>
          </w:tcPr>
          <w:p>
            <w:pPr>
              <w:pStyle w:val="Normal"/>
              <w:ind w:start="360" w:end="0"/>
              <w:rPr>
                <w:rFonts w:ascii="Book Antiqua" w:hAnsi="Book Antiqua" w:cs="Book Antiqua"/>
                <w:sz w:val="22"/>
              </w:rPr>
            </w:pPr>
            <w:r>
              <w:rPr>
                <w:rFonts w:cs="Book Antiqua" w:ascii="Book Antiqua" w:hAnsi="Book Antiqua"/>
                <w:sz w:val="22"/>
              </w:rPr>
              <w:t>International Business</w:t>
            </w:r>
          </w:p>
        </w:tc>
      </w:tr>
      <w:tr>
        <w:trPr>
          <w:trHeight w:val="135" w:hRule="atLeast"/>
        </w:trPr>
        <w:tc>
          <w:tcPr>
            <w:tcW w:w="1548" w:type="dxa"/>
            <w:vMerge w:val="restart"/>
            <w:tcBorders>
              <w:top w:val="single" w:sz="4" w:space="0" w:color="000000"/>
              <w:end w:val="single" w:sz="4" w:space="0" w:color="000000"/>
            </w:tcBorders>
          </w:tcPr>
          <w:p>
            <w:pPr>
              <w:pStyle w:val="Normal"/>
              <w:snapToGrid w:val="false"/>
              <w:rPr>
                <w:rFonts w:ascii="Book Antiqua" w:hAnsi="Book Antiqua" w:cs="Book Antiqua"/>
                <w:sz w:val="22"/>
              </w:rPr>
            </w:pPr>
            <w:r>
              <w:rPr>
                <w:rFonts w:cs="Book Antiqua" w:ascii="Book Antiqua" w:hAnsi="Book Antiqua"/>
                <w:sz w:val="22"/>
              </w:rPr>
            </w:r>
          </w:p>
        </w:tc>
        <w:tc>
          <w:tcPr>
            <w:tcW w:w="2196" w:type="dxa"/>
            <w:tcBorders>
              <w:top w:val="single" w:sz="4" w:space="0" w:color="000000"/>
              <w:start w:val="single" w:sz="4" w:space="0" w:color="000000"/>
              <w:bottom w:val="single" w:sz="4" w:space="0" w:color="000000"/>
              <w:end w:val="single" w:sz="4" w:space="0" w:color="000000"/>
            </w:tcBorders>
            <w:vAlign w:val="center"/>
          </w:tcPr>
          <w:p>
            <w:pPr>
              <w:pStyle w:val="Normal"/>
              <w:ind w:start="360" w:end="0"/>
              <w:rPr>
                <w:rFonts w:ascii="Book Antiqua" w:hAnsi="Book Antiqua" w:cs="Book Antiqua"/>
                <w:sz w:val="22"/>
              </w:rPr>
            </w:pPr>
            <w:r>
              <w:rPr>
                <w:rFonts w:cs="Book Antiqua" w:ascii="Book Antiqua" w:hAnsi="Book Antiqua"/>
                <w:sz w:val="22"/>
              </w:rPr>
              <w:t>Economics</w:t>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ind w:start="360" w:end="0"/>
              <w:rPr>
                <w:rFonts w:ascii="Book Antiqua" w:hAnsi="Book Antiqua" w:cs="Book Antiqua"/>
                <w:sz w:val="22"/>
              </w:rPr>
            </w:pPr>
            <w:r>
              <w:rPr>
                <w:rFonts w:cs="Book Antiqua" w:ascii="Book Antiqua" w:hAnsi="Book Antiqua"/>
                <w:sz w:val="22"/>
              </w:rPr>
              <w:t>Business Management</w:t>
            </w:r>
          </w:p>
        </w:tc>
        <w:tc>
          <w:tcPr>
            <w:tcW w:w="3060" w:type="dxa"/>
            <w:tcBorders>
              <w:top w:val="single" w:sz="4" w:space="0" w:color="000000"/>
              <w:start w:val="single" w:sz="4" w:space="0" w:color="000000"/>
              <w:bottom w:val="single" w:sz="4" w:space="0" w:color="000000"/>
              <w:end w:val="single" w:sz="4" w:space="0" w:color="000000"/>
            </w:tcBorders>
            <w:vAlign w:val="center"/>
          </w:tcPr>
          <w:p>
            <w:pPr>
              <w:pStyle w:val="Normal"/>
              <w:ind w:start="360" w:end="0"/>
              <w:rPr>
                <w:rFonts w:ascii="Book Antiqua" w:hAnsi="Book Antiqua" w:cs="Book Antiqua"/>
                <w:sz w:val="22"/>
              </w:rPr>
            </w:pPr>
            <w:r>
              <w:rPr>
                <w:rFonts w:cs="Book Antiqua" w:ascii="Book Antiqua" w:hAnsi="Book Antiqua"/>
                <w:sz w:val="22"/>
              </w:rPr>
              <w:t>Finance</w:t>
            </w:r>
          </w:p>
        </w:tc>
      </w:tr>
      <w:tr>
        <w:trPr>
          <w:trHeight w:val="135" w:hRule="atLeast"/>
        </w:trPr>
        <w:tc>
          <w:tcPr>
            <w:tcW w:w="1548" w:type="dxa"/>
            <w:vMerge w:val="continue"/>
            <w:tcBorders>
              <w:top w:val="single" w:sz="4" w:space="0" w:color="000000"/>
              <w:end w:val="single" w:sz="4" w:space="0" w:color="000000"/>
            </w:tcBorders>
          </w:tcPr>
          <w:p>
            <w:pPr>
              <w:pStyle w:val="Normal"/>
              <w:snapToGrid w:val="false"/>
              <w:rPr>
                <w:rFonts w:ascii="Book Antiqua" w:hAnsi="Book Antiqua" w:cs="Book Antiqua"/>
                <w:sz w:val="22"/>
              </w:rPr>
            </w:pPr>
            <w:r>
              <w:rPr>
                <w:rFonts w:cs="Book Antiqua" w:ascii="Book Antiqua" w:hAnsi="Book Antiqua"/>
                <w:sz w:val="22"/>
              </w:rPr>
            </w:r>
          </w:p>
        </w:tc>
        <w:tc>
          <w:tcPr>
            <w:tcW w:w="2196" w:type="dxa"/>
            <w:tcBorders>
              <w:top w:val="single" w:sz="4" w:space="0" w:color="000000"/>
              <w:start w:val="single" w:sz="4" w:space="0" w:color="000000"/>
              <w:bottom w:val="single" w:sz="4" w:space="0" w:color="000000"/>
              <w:end w:val="single" w:sz="4" w:space="0" w:color="000000"/>
            </w:tcBorders>
            <w:vAlign w:val="center"/>
          </w:tcPr>
          <w:p>
            <w:pPr>
              <w:pStyle w:val="Normal"/>
              <w:ind w:start="360" w:end="0"/>
              <w:rPr>
                <w:rFonts w:ascii="Book Antiqua" w:hAnsi="Book Antiqua" w:cs="Book Antiqua"/>
                <w:sz w:val="22"/>
              </w:rPr>
            </w:pPr>
            <w:r>
              <w:rPr>
                <w:rFonts w:cs="Book Antiqua" w:ascii="Book Antiqua" w:hAnsi="Book Antiqua"/>
                <w:sz w:val="22"/>
              </w:rPr>
              <w:t>Marketing</w:t>
            </w:r>
          </w:p>
        </w:tc>
        <w:tc>
          <w:tcPr>
            <w:tcW w:w="3240" w:type="dxa"/>
            <w:tcBorders>
              <w:top w:val="single" w:sz="4" w:space="0" w:color="000000"/>
              <w:start w:val="single" w:sz="4" w:space="0" w:color="000000"/>
              <w:bottom w:val="single" w:sz="4" w:space="0" w:color="000000"/>
              <w:end w:val="single" w:sz="4" w:space="0" w:color="000000"/>
            </w:tcBorders>
            <w:vAlign w:val="center"/>
          </w:tcPr>
          <w:p>
            <w:pPr>
              <w:pStyle w:val="Normal"/>
              <w:ind w:start="360" w:end="0"/>
              <w:rPr>
                <w:rFonts w:ascii="Book Antiqua" w:hAnsi="Book Antiqua" w:cs="Book Antiqua"/>
                <w:sz w:val="22"/>
              </w:rPr>
            </w:pPr>
            <w:r>
              <w:rPr>
                <w:rFonts w:cs="Book Antiqua" w:ascii="Book Antiqua" w:hAnsi="Book Antiqua"/>
                <w:sz w:val="22"/>
              </w:rPr>
              <w:t>Business Ethics</w:t>
            </w:r>
          </w:p>
        </w:tc>
        <w:tc>
          <w:tcPr>
            <w:tcW w:w="30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start="360" w:end="0"/>
              <w:rPr>
                <w:rFonts w:ascii="Book Antiqua" w:hAnsi="Book Antiqua" w:cs="Book Antiqua"/>
                <w:sz w:val="22"/>
              </w:rPr>
            </w:pPr>
            <w:r>
              <w:rPr>
                <w:rFonts w:cs="Book Antiqua" w:ascii="Book Antiqua" w:hAnsi="Book Antiqua"/>
                <w:sz w:val="22"/>
              </w:rPr>
            </w:r>
          </w:p>
        </w:tc>
      </w:tr>
    </w:tbl>
    <w:p>
      <w:pPr>
        <w:pStyle w:val="Normal"/>
        <w:tabs>
          <w:tab w:val="clear" w:pos="720"/>
          <w:tab w:val="left" w:pos="1020" w:leader="none"/>
        </w:tabs>
        <w:jc w:val="both"/>
        <w:rPr/>
      </w:pPr>
      <w:r>
        <w:rPr/>
      </w:r>
    </w:p>
    <w:sectPr>
      <w:type w:val="continuous"/>
      <w:pgSz w:w="12240" w:h="15840"/>
      <w:pgMar w:left="1680" w:right="1680" w:gutter="0" w:header="0" w:top="1080" w:footer="720" w:bottom="108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Verdana">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2"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rPr>
    </w:lvl>
  </w:abstractNum>
  <w:abstractNum w:abstractNumId="3">
    <w:lvl w:ilvl="0">
      <w:start w:val="1"/>
      <w:numFmt w:val="bullet"/>
      <w:lvlText w:val=""/>
      <w:lvlJc w:val="start"/>
      <w:pPr>
        <w:tabs>
          <w:tab w:val="num" w:pos="720"/>
        </w:tabs>
        <w:ind w:start="720" w:hanging="360"/>
      </w:pPr>
      <w:rPr>
        <w:rFonts w:ascii="Wingdings" w:hAnsi="Wingdings" w:cs="Wingdings" w:hint="default"/>
      </w:rPr>
    </w:lvl>
  </w:abstractNum>
  <w:abstractNum w:abstractNumId="4">
    <w:lvl w:ilvl="0">
      <w:start w:val="1"/>
      <w:numFmt w:val="bullet"/>
      <w:lvlText w:val=""/>
      <w:lvlJc w:val="start"/>
      <w:pPr>
        <w:tabs>
          <w:tab w:val="num" w:pos="720"/>
        </w:tabs>
        <w:ind w:start="72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Book Antiqua" w:hAnsi="Book Antiqua" w:cs="Book Antiqua"/>
      <w:b/>
      <w:bCs/>
      <w:sz w:val="32"/>
    </w:rPr>
  </w:style>
  <w:style w:type="paragraph" w:styleId="Heading2">
    <w:name w:val="heading 2"/>
    <w:basedOn w:val="Normal"/>
    <w:next w:val="Normal"/>
    <w:qFormat/>
    <w:pPr>
      <w:keepNext w:val="true"/>
      <w:numPr>
        <w:ilvl w:val="1"/>
        <w:numId w:val="1"/>
      </w:numPr>
      <w:outlineLvl w:val="1"/>
    </w:pPr>
    <w:rPr>
      <w:rFonts w:ascii="Book Antiqua" w:hAnsi="Book Antiqua" w:cs="Book Antiqua"/>
      <w:b/>
      <w:bCs/>
      <w:sz w:val="22"/>
    </w:rPr>
  </w:style>
  <w:style w:type="paragraph" w:styleId="Heading3">
    <w:name w:val="heading 3"/>
    <w:basedOn w:val="Normal"/>
    <w:next w:val="Normal"/>
    <w:qFormat/>
    <w:pPr>
      <w:keepNext w:val="true"/>
      <w:numPr>
        <w:ilvl w:val="2"/>
        <w:numId w:val="1"/>
      </w:numPr>
      <w:jc w:val="both"/>
      <w:outlineLvl w:val="2"/>
    </w:pPr>
    <w:rPr>
      <w:rFonts w:ascii="Book Antiqua" w:hAnsi="Book Antiqua" w:cs="Book Antiqua"/>
      <w:b/>
      <w:bCs/>
      <w:sz w:val="22"/>
    </w:rPr>
  </w:style>
  <w:style w:type="paragraph" w:styleId="Heading4">
    <w:name w:val="heading 4"/>
    <w:basedOn w:val="Normal"/>
    <w:next w:val="Normal"/>
    <w:qFormat/>
    <w:pPr>
      <w:keepNext w:val="true"/>
      <w:numPr>
        <w:ilvl w:val="3"/>
        <w:numId w:val="1"/>
      </w:numPr>
      <w:jc w:val="center"/>
      <w:outlineLvl w:val="3"/>
    </w:pPr>
    <w:rPr>
      <w:rFonts w:ascii="Book Antiqua" w:hAnsi="Book Antiqua" w:cs="Book Antiqua"/>
      <w:b/>
      <w:bCs/>
      <w:sz w:val="36"/>
    </w:rPr>
  </w:style>
  <w:style w:type="paragraph" w:styleId="Heading5">
    <w:name w:val="heading 5"/>
    <w:basedOn w:val="Normal"/>
    <w:next w:val="Normal"/>
    <w:qFormat/>
    <w:pPr>
      <w:keepNext w:val="true"/>
      <w:numPr>
        <w:ilvl w:val="4"/>
        <w:numId w:val="1"/>
      </w:numPr>
      <w:jc w:val="both"/>
      <w:outlineLvl w:val="4"/>
    </w:pPr>
    <w:rPr>
      <w:rFonts w:ascii="Book Antiqua" w:hAnsi="Book Antiqua" w:cs="Book Antiqua"/>
      <w:b/>
      <w:bCs/>
      <w:sz w:val="36"/>
    </w:rPr>
  </w:style>
  <w:style w:type="paragraph" w:styleId="Heading6">
    <w:name w:val="heading 6"/>
    <w:basedOn w:val="Normal"/>
    <w:next w:val="Normal"/>
    <w:qFormat/>
    <w:pPr>
      <w:keepNext w:val="true"/>
      <w:numPr>
        <w:ilvl w:val="5"/>
        <w:numId w:val="1"/>
      </w:numPr>
      <w:outlineLvl w:val="5"/>
    </w:pPr>
    <w:rPr>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7z0">
    <w:name w:val="WW8Num7z0"/>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bodytext1">
    <w:name w:val="bodytext1"/>
    <w:basedOn w:val="DefaultParagraphFont"/>
    <w:qFormat/>
    <w:rPr>
      <w:rFonts w:ascii="Verdana" w:hAnsi="Verdana" w:cs="Verdana"/>
      <w:b w:val="false"/>
      <w:bCs w:val="false"/>
      <w:i w:val="false"/>
      <w:iCs w:val="false"/>
      <w:sz w:val="18"/>
      <w:szCs w:val="18"/>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Book Antiqua" w:hAnsi="Book Antiqua" w:cs="Book Antiqua"/>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jc w:val="both"/>
    </w:pPr>
    <w:rPr>
      <w:rFonts w:ascii="Book Antiqua" w:hAnsi="Book Antiqua" w:cs="Book Antiqua"/>
      <w:sz w:val="22"/>
    </w:rPr>
  </w:style>
  <w:style w:type="paragraph" w:styleId="NormalWeb">
    <w:name w:val="Normal (Web)"/>
    <w:basedOn w:val="Normal"/>
    <w:qFormat/>
    <w:pPr>
      <w:spacing w:before="280" w:after="28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PlainText">
    <w:name w:val="Plain Text"/>
    <w:basedOn w:val="Normal"/>
    <w:qFormat/>
    <w:pPr/>
    <w:rPr>
      <w:rFonts w:ascii="Courier New" w:hAnsi="Courier New" w:cs="Courier New"/>
      <w:sz w:val="20"/>
      <w:szCs w:val="20"/>
    </w:rPr>
  </w:style>
  <w:style w:type="paragraph" w:styleId="BodyText2">
    <w:name w:val="Body Text 2"/>
    <w:basedOn w:val="Normal"/>
    <w:qFormat/>
    <w:pPr>
      <w:jc w:val="both"/>
    </w:pPr>
    <w:rPr>
      <w:rFonts w:ascii="Book Antiqua" w:hAnsi="Book Antiqua" w:cs="Book Antiqua"/>
      <w:sz w:val="22"/>
    </w:rPr>
  </w:style>
  <w:style w:type="paragraph" w:styleId="BodyText3">
    <w:name w:val="Body Text 3"/>
    <w:basedOn w:val="Normal"/>
    <w:qFormat/>
    <w:pPr>
      <w:tabs>
        <w:tab w:val="clear" w:pos="720"/>
        <w:tab w:val="left" w:pos="1020" w:leader="none"/>
      </w:tabs>
      <w:jc w:val="both"/>
    </w:pPr>
    <w:rPr>
      <w:rFonts w:ascii="Book Antiqua" w:hAnsi="Book Antiqua" w:cs="Book Antiqua"/>
      <w:i/>
      <w:iCs/>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hechairman7@mindspring.com"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2001-10-01T17:22:00Z</dcterms:created>
  <dc:creator>Ryan Barnard</dc:creator>
  <dc:description/>
  <dc:language>en-CA</dc:language>
  <cp:lastModifiedBy>mpurcell</cp:lastModifiedBy>
  <cp:lastPrinted>2001-10-01T11:34:00Z</cp:lastPrinted>
  <dcterms:modified xsi:type="dcterms:W3CDTF">2001-10-01T17:22:00Z</dcterms:modified>
  <cp:revision>2</cp:revision>
  <dc:subject/>
  <dc:title>21450 SW Cayuse Court · Tualatin, OR 97062 · (503) 885-1045 · thechairman7@mindspring</dc:title>
</cp:coreProperties>
</file>