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 xml:space="preserve">El Paso Natural Gas Company </w:t>
      </w:r>
    </w:p>
    <w:p>
      <w:pPr>
        <w:pStyle w:val="Heading"/>
        <w:rPr>
          <w:u w:val="none"/>
        </w:rPr>
      </w:pPr>
      <w:r>
        <w:rPr>
          <w:u w:val="none"/>
        </w:rPr>
        <w:t>Recommendation to Reject Gas Transportation Agreements</w:t>
      </w:r>
    </w:p>
    <w:p>
      <w:pPr>
        <w:pStyle w:val="Heading"/>
        <w:rPr>
          <w:u w:val="none"/>
        </w:rPr>
      </w:pPr>
      <w:r>
        <w:rPr>
          <w:u w:val="none"/>
        </w:rPr>
      </w:r>
    </w:p>
    <w:p>
      <w:pPr>
        <w:pStyle w:val="Normal"/>
        <w:rPr/>
      </w:pPr>
      <w:r>
        <w:rPr/>
      </w:r>
    </w:p>
    <w:p>
      <w:pPr>
        <w:pStyle w:val="Subtitle"/>
        <w:rPr/>
      </w:pPr>
      <w:r>
        <w:rPr>
          <w:b/>
          <w:bCs/>
          <w:sz w:val="22"/>
        </w:rPr>
        <w:t>Overview:</w:t>
      </w:r>
      <w:r>
        <w:rPr>
          <w:sz w:val="22"/>
          <w:u w:val="none"/>
        </w:rPr>
        <w:t xml:space="preserve"> </w:t>
      </w:r>
    </w:p>
    <w:p>
      <w:pPr>
        <w:pStyle w:val="Subtitle"/>
        <w:jc w:val="both"/>
        <w:rPr>
          <w:i/>
          <w:i/>
          <w:iCs/>
          <w:sz w:val="20"/>
          <w:u w:val="none"/>
        </w:rPr>
      </w:pPr>
      <w:r>
        <w:rPr>
          <w:i/>
          <w:iCs/>
          <w:sz w:val="20"/>
          <w:u w:val="none"/>
        </w:rPr>
        <w:t xml:space="preserve">On February 28, 2002, El Paso Natural Gas Company (EPNG) filed a motion in bankruptcy court requesting that EPNG be allowed to terminate certain natural gas transport agreements or that Enron Corp (Enron) assume or reject their contracts and pay administrative fees.  On March 21st, EPNG and Enron entered into a Stipulation where Enron agreed to (1) assume or reject all the EPNG agreements by May 3, 2002, (2) to make ENA’s firm transportation capacity available to other shippers up through May 3, 2002 using the temporary capacity release procedures, and (3) to release ENA’s firm capacity at above maximum rates for the period of May through September 2002 if there was market interest.  EPNG agreed to withdraw the Motion without prejudice to its rights, claims or interests. </w:t>
      </w:r>
    </w:p>
    <w:p>
      <w:pPr>
        <w:pStyle w:val="Subtitle"/>
        <w:jc w:val="both"/>
        <w:rPr>
          <w:i/>
          <w:i/>
          <w:iCs/>
          <w:sz w:val="20"/>
          <w:u w:val="none"/>
        </w:rPr>
      </w:pPr>
      <w:r>
        <w:rPr>
          <w:i/>
          <w:iCs/>
          <w:sz w:val="20"/>
          <w:u w:val="none"/>
        </w:rPr>
      </w:r>
    </w:p>
    <w:p>
      <w:pPr>
        <w:pStyle w:val="Subtitle"/>
        <w:jc w:val="both"/>
        <w:rPr>
          <w:i/>
          <w:i/>
          <w:iCs/>
          <w:sz w:val="20"/>
          <w:u w:val="none"/>
        </w:rPr>
      </w:pPr>
      <w:r>
        <w:rPr>
          <w:i/>
          <w:iCs/>
          <w:sz w:val="20"/>
          <w:u w:val="none"/>
        </w:rPr>
        <w:t>After an extensive evaluation of the market conditions on EPNG, Enron has determined that there is no current market interest to acquire the agreements at the maximum tariff contract rates.  It is recommended that Enron’s agreements be rejected on the May 3, 2002 deadline under the Stipulation.</w:t>
      </w:r>
    </w:p>
    <w:p>
      <w:pPr>
        <w:pStyle w:val="BodyText"/>
        <w:rPr>
          <w:i/>
          <w:i/>
          <w:iCs/>
          <w:sz w:val="22"/>
          <w:u w:val="none"/>
        </w:rPr>
      </w:pPr>
      <w:r>
        <w:rPr>
          <w:i/>
          <w:iCs/>
          <w:sz w:val="22"/>
          <w:u w:val="none"/>
        </w:rPr>
      </w:r>
    </w:p>
    <w:p>
      <w:pPr>
        <w:pStyle w:val="Subtitle"/>
        <w:rPr/>
      </w:pPr>
      <w:r>
        <w:rPr>
          <w:b/>
          <w:bCs/>
          <w:sz w:val="22"/>
        </w:rPr>
        <w:t>Background:</w:t>
      </w:r>
      <w:r>
        <w:rPr/>
        <w:t xml:space="preserve">  </w:t>
      </w:r>
    </w:p>
    <w:p>
      <w:pPr>
        <w:pStyle w:val="BodyText"/>
        <w:rPr>
          <w:sz w:val="20"/>
        </w:rPr>
      </w:pPr>
      <w:r>
        <w:rPr>
          <w:sz w:val="20"/>
        </w:rPr>
        <w:t>Enron Corp. currently has 72 executed contracts with EPNG.  The detailed breakout of these agreements and the Enron entity that has title to the contracts are displayed in the attached summary titled, “EPNG Gas Transportation Contract Summary.” For the five firm agreements, the daily volume, contract term, receipt and delivery locations, and the monthly demand charges are listed in the summary.  Enron acquired all the firm agreements at the maximum tariff rates at the time when the price spreads between the supply basins and the southern California border were extremely wide.  Since acquiring the capacity, those price spreads have collapsed.</w:t>
      </w:r>
    </w:p>
    <w:p>
      <w:pPr>
        <w:pStyle w:val="BodyText"/>
        <w:rPr>
          <w:sz w:val="20"/>
        </w:rPr>
      </w:pPr>
      <w:r>
        <w:rPr>
          <w:sz w:val="20"/>
        </w:rPr>
      </w:r>
    </w:p>
    <w:p>
      <w:pPr>
        <w:pStyle w:val="BodyText"/>
        <w:rPr>
          <w:sz w:val="20"/>
        </w:rPr>
      </w:pPr>
      <w:r>
        <w:rPr>
          <w:sz w:val="20"/>
        </w:rPr>
        <w:t xml:space="preserve">The remaining 67 agreements, which are categorized as either Pooling or Interruptible Transportation or IT agreements, are considered interruptible contracts and have no fixed demand costs.  Costs for pooling and IT contracts are only incurred when the contracts have been utilized. These contracts are evergreen and thus have no defined termination date.  Normal course of business would allow these contracts to be terminated by either party providing 30 day written notice of termination. </w:t>
      </w:r>
    </w:p>
    <w:p>
      <w:pPr>
        <w:pStyle w:val="BodyText"/>
        <w:rPr>
          <w:sz w:val="22"/>
        </w:rPr>
      </w:pPr>
      <w:r>
        <w:rPr>
          <w:sz w:val="22"/>
        </w:rPr>
      </w:r>
    </w:p>
    <w:p>
      <w:pPr>
        <w:pStyle w:val="Subtitle"/>
        <w:rPr/>
      </w:pPr>
      <w:r>
        <w:rPr>
          <w:b/>
          <w:bCs/>
          <w:sz w:val="22"/>
        </w:rPr>
        <w:t>Current Request:</w:t>
      </w:r>
      <w:r>
        <w:rPr/>
        <w:t xml:space="preserve"> </w:t>
      </w:r>
    </w:p>
    <w:p>
      <w:pPr>
        <w:pStyle w:val="BodyText"/>
        <w:rPr>
          <w:sz w:val="20"/>
        </w:rPr>
      </w:pPr>
      <w:r>
        <w:rPr>
          <w:sz w:val="20"/>
        </w:rPr>
        <w:t>The transaction team requests the authorization to reject all the firm, pooling, and IT agreements since the 72 contracts have no benefit to the Estate.</w:t>
      </w:r>
    </w:p>
    <w:p>
      <w:pPr>
        <w:pStyle w:val="BodyText"/>
        <w:rPr>
          <w:sz w:val="20"/>
        </w:rPr>
      </w:pPr>
      <w:r>
        <w:rPr>
          <w:sz w:val="20"/>
        </w:rPr>
      </w:r>
    </w:p>
    <w:p>
      <w:pPr>
        <w:pStyle w:val="BodyText"/>
        <w:rPr/>
      </w:pPr>
      <w:r>
        <w:rPr>
          <w:b/>
          <w:bCs/>
          <w:sz w:val="22"/>
          <w:u w:val="single"/>
        </w:rPr>
        <w:t>Description of Assets/Securities to be Sold</w:t>
      </w:r>
      <w:r>
        <w:rPr>
          <w:b/>
          <w:bCs/>
          <w:sz w:val="22"/>
        </w:rPr>
        <w:t xml:space="preserve">:  </w:t>
      </w:r>
      <w:r>
        <w:rPr>
          <w:sz w:val="22"/>
        </w:rPr>
        <w:t>None</w:t>
      </w:r>
    </w:p>
    <w:p>
      <w:pPr>
        <w:pStyle w:val="BodyText"/>
        <w:rPr>
          <w:sz w:val="22"/>
        </w:rPr>
      </w:pPr>
      <w:r>
        <w:rPr>
          <w:sz w:val="22"/>
        </w:rPr>
      </w:r>
    </w:p>
    <w:p>
      <w:pPr>
        <w:pStyle w:val="BodyText"/>
        <w:rPr/>
      </w:pPr>
      <w:r>
        <w:rPr>
          <w:b/>
          <w:bCs/>
          <w:sz w:val="22"/>
          <w:u w:val="single"/>
        </w:rPr>
        <w:t>Strategic Rationale for Rejecting Contract:</w:t>
      </w:r>
      <w:r>
        <w:rPr>
          <w:sz w:val="22"/>
        </w:rPr>
        <w:t xml:space="preserve"> </w:t>
      </w:r>
    </w:p>
    <w:p>
      <w:pPr>
        <w:pStyle w:val="BodyText"/>
        <w:rPr>
          <w:sz w:val="20"/>
        </w:rPr>
      </w:pPr>
      <w:r>
        <w:rPr>
          <w:sz w:val="20"/>
        </w:rPr>
        <w:t xml:space="preserve">The demand cost exceeds the market value of the firm transportation contracts.  Although at one point in time, this capacity had value to Enron, the existing supply and sale hedges that were in place to capture the spread value are no longer in place and the spreads have collapsed.  Current market analyses indicate that if these contracts are kept until the end of the term of the agreements, the demand costs will exceed the market value of the contract by over $106 million.  The capacity holds no value to the estate and is thus an economic burden. </w:t>
      </w:r>
    </w:p>
    <w:p>
      <w:pPr>
        <w:pStyle w:val="BodyText"/>
        <w:rPr>
          <w:sz w:val="20"/>
        </w:rPr>
      </w:pPr>
      <w:r>
        <w:rPr>
          <w:sz w:val="20"/>
        </w:rPr>
      </w:r>
    </w:p>
    <w:p>
      <w:pPr>
        <w:pStyle w:val="BodyText"/>
        <w:rPr>
          <w:sz w:val="20"/>
        </w:rPr>
      </w:pPr>
      <w:r>
        <w:rPr>
          <w:sz w:val="20"/>
        </w:rPr>
        <w:t xml:space="preserve">The Pooling and IT agreements are utilized to either capture existing market spreads or facilitate the nomination of gas to customers. Because Enron is no longer participating in the gas daily market, these contracts hold no value. </w:t>
      </w:r>
    </w:p>
    <w:p>
      <w:pPr>
        <w:pStyle w:val="BodyText"/>
        <w:rPr>
          <w:b/>
          <w:bCs/>
          <w:sz w:val="20"/>
          <w:u w:val="single"/>
        </w:rPr>
      </w:pPr>
      <w:r>
        <w:rPr>
          <w:b/>
          <w:bCs/>
          <w:sz w:val="20"/>
          <w:u w:val="single"/>
        </w:rPr>
      </w:r>
    </w:p>
    <w:p>
      <w:pPr>
        <w:pStyle w:val="BodyText"/>
        <w:rPr/>
      </w:pPr>
      <w:r>
        <w:rPr>
          <w:b/>
          <w:bCs/>
          <w:sz w:val="22"/>
          <w:u w:val="single"/>
        </w:rPr>
        <w:t>Market Analysis for Rejecting Contract:</w:t>
      </w:r>
      <w:r>
        <w:rPr>
          <w:sz w:val="22"/>
        </w:rPr>
        <w:t xml:space="preserve"> </w:t>
      </w:r>
    </w:p>
    <w:p>
      <w:pPr>
        <w:pStyle w:val="BodyText"/>
        <w:rPr/>
      </w:pPr>
      <w:r>
        <w:rPr>
          <w:sz w:val="20"/>
        </w:rPr>
        <w:t>The firm agreements have no value to the Estate or any other Enron entity based upon a thorough market analysis. As agreed to in the Stipulation, Enron posted this capacity for bids thru May 3, 2002. Although third parties bid and acquired the capacity for the month of April 2002, third parties paid only 11 percent of the maximum rate for the capacity.  Enron then posted the firm contracts at above the maximum tariff rates for May 2002 through September 2002. All the firm capacity postings expired</w:t>
      </w:r>
      <w:r>
        <w:rPr>
          <w:sz w:val="22"/>
        </w:rPr>
        <w:t xml:space="preserve"> </w:t>
      </w:r>
      <w:r>
        <w:rPr>
          <w:sz w:val="20"/>
        </w:rPr>
        <w:t>without any bids. Additionally, a market</w:t>
      </w:r>
      <w:r>
        <w:rPr>
          <w:sz w:val="22"/>
        </w:rPr>
        <w:t xml:space="preserve"> </w:t>
      </w:r>
      <w:r>
        <w:rPr>
          <w:sz w:val="20"/>
        </w:rPr>
        <w:t>survey was conducted of several marketers who are active in the El Paso pipeline area and all notional bids-offers proposed for the capacity were well below the maximum tariff rates. Please refer to the “EPNG Contract Summary,” attachment for the net value of the contracts.</w:t>
      </w:r>
    </w:p>
    <w:p>
      <w:pPr>
        <w:pStyle w:val="BodyText"/>
        <w:rPr>
          <w:sz w:val="20"/>
        </w:rPr>
      </w:pPr>
      <w:r>
        <w:rPr>
          <w:sz w:val="20"/>
        </w:rPr>
      </w:r>
    </w:p>
    <w:p>
      <w:pPr>
        <w:pStyle w:val="BodyText"/>
        <w:rPr>
          <w:sz w:val="20"/>
        </w:rPr>
      </w:pPr>
      <w:r>
        <w:rPr>
          <w:sz w:val="20"/>
        </w:rPr>
        <w:t>Pooling and IT agreements also have no positive value to the Estate or any other Enron entity. These types of agreements are not releasable to the market. They are standard contracts issued by the pipelines to be used on an interruptible basis.</w:t>
      </w:r>
    </w:p>
    <w:p>
      <w:pPr>
        <w:pStyle w:val="BodyText"/>
        <w:rPr>
          <w:sz w:val="22"/>
        </w:rPr>
      </w:pPr>
      <w:r>
        <w:rPr>
          <w:sz w:val="22"/>
        </w:rPr>
      </w:r>
    </w:p>
    <w:p>
      <w:pPr>
        <w:pStyle w:val="BodyText"/>
        <w:rPr/>
      </w:pPr>
      <w:r>
        <w:rPr>
          <w:b/>
          <w:bCs/>
          <w:sz w:val="22"/>
          <w:u w:val="single"/>
        </w:rPr>
        <w:t>Impact of Not Doing the Proposed Transaction:</w:t>
      </w:r>
      <w:r>
        <w:rPr>
          <w:sz w:val="22"/>
        </w:rPr>
        <w:t xml:space="preserve">  </w:t>
      </w:r>
    </w:p>
    <w:p>
      <w:pPr>
        <w:pStyle w:val="BodyText"/>
        <w:rPr>
          <w:sz w:val="20"/>
        </w:rPr>
      </w:pPr>
      <w:r>
        <w:rPr>
          <w:sz w:val="20"/>
        </w:rPr>
        <w:t>If no action is taken, the Agreements shall be deemed rejected as set forth in the Stipulation, using either no response or the Rejection Procedures Order and effective as stipulated under the Notice of Rejection.  Assumption would require Enron to cure the agreement by paying unpaid monthly demand charges from December 2001 to present for contracts that has no value to Enron.</w:t>
      </w:r>
    </w:p>
    <w:p>
      <w:pPr>
        <w:pStyle w:val="BodyText"/>
        <w:rPr>
          <w:sz w:val="22"/>
          <w:u w:val="single"/>
        </w:rPr>
      </w:pPr>
      <w:r>
        <w:rPr>
          <w:sz w:val="22"/>
          <w:u w:val="single"/>
        </w:rPr>
      </w:r>
    </w:p>
    <w:p>
      <w:pPr>
        <w:pStyle w:val="BodyText"/>
        <w:rPr/>
      </w:pPr>
      <w:r>
        <w:rPr>
          <w:b/>
          <w:bCs/>
          <w:sz w:val="22"/>
          <w:u w:val="single"/>
        </w:rPr>
        <w:t>Impact/Potential Impact on Other Enron Entities:</w:t>
      </w:r>
      <w:r>
        <w:rPr>
          <w:sz w:val="22"/>
        </w:rPr>
        <w:t xml:space="preserve">  </w:t>
      </w:r>
      <w:r>
        <w:rPr>
          <w:sz w:val="20"/>
        </w:rPr>
        <w:t>None</w:t>
      </w:r>
    </w:p>
    <w:p>
      <w:pPr>
        <w:pStyle w:val="BodyText"/>
        <w:rPr>
          <w:sz w:val="22"/>
        </w:rPr>
      </w:pPr>
      <w:r>
        <w:rPr>
          <w:sz w:val="22"/>
        </w:rPr>
      </w:r>
    </w:p>
    <w:p>
      <w:pPr>
        <w:pStyle w:val="BodyText"/>
        <w:rPr/>
      </w:pPr>
      <w:r>
        <w:rPr>
          <w:b/>
          <w:bCs/>
          <w:sz w:val="22"/>
          <w:u w:val="single"/>
        </w:rPr>
        <w:t>Impact/Potential Impact on Different Creditor Class:</w:t>
      </w:r>
      <w:r>
        <w:rPr>
          <w:sz w:val="22"/>
        </w:rPr>
        <w:t xml:space="preserve">  </w:t>
      </w:r>
      <w:r>
        <w:rPr>
          <w:sz w:val="20"/>
        </w:rPr>
        <w:t>None</w:t>
      </w:r>
    </w:p>
    <w:p>
      <w:pPr>
        <w:pStyle w:val="BodyText"/>
        <w:rPr>
          <w:sz w:val="22"/>
        </w:rPr>
      </w:pPr>
      <w:r>
        <w:rPr>
          <w:sz w:val="22"/>
        </w:rPr>
      </w:r>
    </w:p>
    <w:p>
      <w:pPr>
        <w:pStyle w:val="BodyText"/>
        <w:rPr/>
      </w:pPr>
      <w:r>
        <w:rPr>
          <w:b/>
          <w:bCs/>
          <w:sz w:val="22"/>
          <w:u w:val="single"/>
        </w:rPr>
        <w:t>Apparent Public Relations Repercussions:</w:t>
      </w:r>
      <w:r>
        <w:rPr>
          <w:sz w:val="22"/>
        </w:rPr>
        <w:t xml:space="preserve">  </w:t>
      </w:r>
      <w:r>
        <w:rPr>
          <w:sz w:val="20"/>
        </w:rPr>
        <w:t>None</w:t>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Normal"/>
        <w:rPr>
          <w:sz w:val="22"/>
        </w:rPr>
      </w:pPr>
      <w:r>
        <w:rPr>
          <w:sz w:val="22"/>
        </w:rPr>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2002-05-02T13:47:00Z</dcterms:created>
  <dc:creator>mgarza1</dc:creator>
  <dc:description/>
  <dc:language>en-CA</dc:language>
  <cp:lastModifiedBy>rconcan</cp:lastModifiedBy>
  <cp:lastPrinted>2002-05-02T08:46:00Z</cp:lastPrinted>
  <dcterms:modified xsi:type="dcterms:W3CDTF">2002-05-02T15:08:00Z</dcterms:modified>
  <cp:revision>6</cp:revision>
  <dc:subject/>
  <dc:title>DEAL DESCRIPTION</dc:title>
</cp:coreProperties>
</file>