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1"/>
        <w:spacing w:before="100" w:after="100"/>
        <w:jc w:val="center"/>
        <w:rPr>
          <w:sz w:val="36"/>
        </w:rPr>
      </w:pPr>
      <w:r>
        <w:rPr>
          <w:sz w:val="36"/>
        </w:rPr>
        <w:t>Rules of Practice and Procedure</w:t>
      </w:r>
    </w:p>
    <w:p>
      <w:pPr>
        <w:pStyle w:val="H2"/>
        <w:jc w:val="center"/>
        <w:rPr>
          <w:sz w:val="28"/>
        </w:rPr>
      </w:pPr>
      <w:r>
        <w:rPr>
          <w:rFonts w:cs="Arial" w:ascii="Arial" w:hAnsi="Arial"/>
          <w:i/>
          <w:sz w:val="28"/>
        </w:rPr>
        <w:t xml:space="preserve">Article 13.5. Stipulations and Settlements </w:t>
      </w:r>
    </w:p>
    <w:p>
      <w:pPr>
        <w:pStyle w:val="H3"/>
        <w:rPr>
          <w:rFonts w:ascii="Arial" w:hAnsi="Arial" w:cs="Arial"/>
          <w:sz w:val="24"/>
        </w:rPr>
      </w:pPr>
      <w:r>
        <w:rPr>
          <w:rFonts w:cs="Arial" w:ascii="Arial" w:hAnsi="Arial"/>
          <w:sz w:val="24"/>
        </w:rPr>
        <w:t xml:space="preserve">51. (Rule 51) Definitions. </w:t>
      </w:r>
    </w:p>
    <w:p>
      <w:pPr>
        <w:pStyle w:val="Normal"/>
        <w:ind w:start="1080" w:end="0"/>
        <w:rPr>
          <w:rFonts w:ascii="Palatino;Book Antiqua" w:hAnsi="Palatino;Book Antiqua" w:cs="Palatino;Book Antiqua"/>
        </w:rPr>
      </w:pPr>
      <w:r>
        <w:rPr>
          <w:rFonts w:cs="Palatino;Book Antiqua" w:ascii="Palatino;Book Antiqua" w:hAnsi="Palatino;Book Antiqua"/>
        </w:rPr>
        <w:t>The following definitions apply for purposes of this article:</w:t>
      </w:r>
    </w:p>
    <w:p>
      <w:pPr>
        <w:pStyle w:val="Normal"/>
        <w:ind w:start="1080" w:end="0"/>
        <w:rPr>
          <w:rFonts w:ascii="Palatino;Book Antiqua" w:hAnsi="Palatino;Book Antiqua" w:cs="Palatino;Book Antiqua"/>
        </w:rPr>
      </w:pPr>
      <w:r>
        <w:rPr>
          <w:rFonts w:cs="Palatino;Book Antiqua" w:ascii="Palatino;Book Antiqua" w:hAnsi="Palatino;Book Antiqua"/>
        </w:rPr>
        <w:t xml:space="preserve">(a) "Party or Parties" means any person on whose behalf an appearance has been filed in the proceeding.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(b) "Commission Proceeding" means an application, complaint, investigation or rulemaking before the California Public Utilities Commission. </w:t>
      </w:r>
    </w:p>
    <w:p>
      <w:pPr>
        <w:pStyle w:val="Normal"/>
        <w:ind w:start="1080" w:end="0"/>
        <w:rPr>
          <w:rFonts w:ascii="Palatino;Book Antiqua" w:hAnsi="Palatino;Book Antiqua" w:cs="Palatino;Book Antiqua"/>
        </w:rPr>
      </w:pPr>
      <w:r>
        <w:rPr>
          <w:rFonts w:cs="Palatino;Book Antiqua" w:ascii="Palatino;Book Antiqua" w:hAnsi="Palatino;Book Antiqua"/>
        </w:rPr>
        <w:t xml:space="preserve">(c) "Settlement" means an agreement between some or all of the parties to a Commission proceeding on a mutually acceptable outcome to the proceedings. In addition to other parties to an agreement, settlements in applications must be signed by the applicant and in complaints, by the complainant and defendant. </w:t>
      </w:r>
    </w:p>
    <w:p>
      <w:pPr>
        <w:pStyle w:val="Normal"/>
        <w:ind w:start="1080" w:end="0"/>
        <w:rPr>
          <w:rFonts w:ascii="Palatino;Book Antiqua" w:hAnsi="Palatino;Book Antiqua" w:cs="Palatino;Book Antiqua"/>
        </w:rPr>
      </w:pPr>
      <w:r>
        <w:rPr>
          <w:rFonts w:cs="Palatino;Book Antiqua" w:ascii="Palatino;Book Antiqua" w:hAnsi="Palatino;Book Antiqua"/>
        </w:rPr>
        <w:t xml:space="preserve">(d) "Stipulation" means an agreement between some or all of the parties to a Commission proceeding on the resolution of any issue of law or fact material to the proceeding.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(e) "Contested" describes a stipulation or settlement that is opposed in whole or part, as provided in this article, by any of the parties to the proceeding in which such stipulation or settlement is proposed for adoption by the Commission. </w:t>
      </w:r>
    </w:p>
    <w:p>
      <w:pPr>
        <w:pStyle w:val="Normal"/>
        <w:ind w:start="1080" w:end="0"/>
        <w:rPr>
          <w:rFonts w:ascii="Palatino;Book Antiqua" w:hAnsi="Palatino;Book Antiqua" w:cs="Palatino;Book Antiqua"/>
        </w:rPr>
      </w:pPr>
      <w:r>
        <w:rPr>
          <w:rFonts w:cs="Palatino;Book Antiqua" w:ascii="Palatino;Book Antiqua" w:hAnsi="Palatino;Book Antiqua"/>
        </w:rPr>
        <w:t>(f) "Uncontested" describes a stipulation or settlement that (1) is filed concurrently by all parties to the proceeding in which such stipulation or settlement is proposed for adoption by the Commission, or (2) is not contested by any party to the proceeding within the comment period after service of the stipulation or settlement on all parties to the proceeding.</w:t>
      </w:r>
    </w:p>
    <w:p>
      <w:pPr>
        <w:pStyle w:val="H3"/>
        <w:rPr>
          <w:rFonts w:ascii="Arial" w:hAnsi="Arial" w:cs="Arial"/>
          <w:sz w:val="24"/>
        </w:rPr>
      </w:pPr>
      <w:r>
        <w:rPr>
          <w:rFonts w:cs="Arial" w:ascii="Arial" w:hAnsi="Arial"/>
          <w:sz w:val="24"/>
        </w:rPr>
        <w:t xml:space="preserve">51.1. (Rule 51.1) Proposal of Settlements or Stipulations.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 Parties to a Commission proceeding may stipulate to the resolution of any issue of law or fact material to the proceeding, or may settle on a mutually acceptable outcome to the proceeding, with or without resolving material issues. Resolution shall be limited to the issues in that proceeding and shall not extend to substantive issues which may come before the Commission in other or future proceedings. </w:t>
      </w:r>
    </w:p>
    <w:p>
      <w:pPr>
        <w:pStyle w:val="Normal"/>
        <w:ind w:start="1080" w:end="0"/>
        <w:rPr>
          <w:rFonts w:ascii="Palatino;Book Antiqua" w:hAnsi="Palatino;Book Antiqua" w:cs="Palatino;Book Antiqua"/>
        </w:rPr>
      </w:pPr>
      <w:r>
        <w:rPr>
          <w:rFonts w:cs="Palatino;Book Antiqua" w:ascii="Palatino;Book Antiqua" w:hAnsi="Palatino;Book Antiqua"/>
        </w:rPr>
        <w:t xml:space="preserve">(b) Prior to signing any stipulation or settlement, the settling parties shall convene at least one conference with notice and opportunity to participate provided to all parties for the purpose of discussing stipulations and settlements in a given proceeding. Written notice of the date, time, and place shall be furnished at least seven (7) days in advance to all parties to the proceeding. Notice of any subsequent meetings may be oral, may occur less than seven days in advance, and may be limited to prior conference attendees and those parties specifically requesting notice. </w:t>
      </w:r>
    </w:p>
    <w:p>
      <w:pPr>
        <w:pStyle w:val="Normal"/>
        <w:ind w:start="1080" w:end="0"/>
        <w:rPr>
          <w:rFonts w:ascii="Palatino;Book Antiqua" w:hAnsi="Palatino;Book Antiqua" w:cs="Palatino;Book Antiqua"/>
        </w:rPr>
      </w:pPr>
      <w:r>
        <w:rPr>
          <w:rFonts w:cs="Palatino;Book Antiqua" w:ascii="Palatino;Book Antiqua" w:hAnsi="Palatino;Book Antiqua"/>
        </w:rPr>
        <w:t xml:space="preserve">(c) Attendance at any stipulation or settlement conference or discussion conducted outside the public hearing room shall be limited to the parties to a proceeding and their representatives.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Parties may by written motion propose stipulations or settlements for adoption by the Commission in accordance with this article. The motion shall contain a statement of the factual and legal considerations adequate to advise the Commission and parties not expressly joining the agreement of its scope and of the grounds on which adoption is urged. </w:t>
      </w:r>
    </w:p>
    <w:p>
      <w:pPr>
        <w:pStyle w:val="Normal"/>
        <w:ind w:start="1080" w:end="0"/>
        <w:rPr>
          <w:rFonts w:ascii="Palatino;Book Antiqua" w:hAnsi="Palatino;Book Antiqua" w:cs="Palatino;Book Antiqua"/>
        </w:rPr>
      </w:pPr>
      <w:r>
        <w:rPr>
          <w:rFonts w:cs="Palatino;Book Antiqua" w:ascii="Palatino;Book Antiqua" w:hAnsi="Palatino;Book Antiqua"/>
        </w:rPr>
        <w:t xml:space="preserve">When a settlement pertains to a proceeding under the Rate Case Plan or other proceeding in which a comparison exhibit would ordinarily be filed, the settlement must be supported by a comparison exhibit indicating the impact of the settlement in relation to the utility's application. If the participating staff supports the settlement, it must prepare a similar exhibit indicating the impact of the proposal in relation to the issues it contested, or would have contested, in a hearing.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(d) Stipulations and settlements should ordinarily not include deadlines for Commission approval; however, in the rare case where delay beyond a certain date would invalidate the basis for the proposal, the timing urgency must be clearly stated and fully justified in the motion. </w:t>
      </w:r>
    </w:p>
    <w:p>
      <w:pPr>
        <w:pStyle w:val="Normal"/>
        <w:ind w:start="1080" w:end="0"/>
        <w:rPr>
          <w:rFonts w:ascii="Palatino;Book Antiqua" w:hAnsi="Palatino;Book Antiqua" w:cs="Palatino;Book Antiqua"/>
        </w:rPr>
      </w:pPr>
      <w:r>
        <w:rPr>
          <w:rFonts w:cs="Palatino;Book Antiqua" w:ascii="Palatino;Book Antiqua" w:hAnsi="Palatino;Book Antiqua"/>
        </w:rPr>
        <w:t xml:space="preserve">(e) The Commission will not approve stipulations or settlements, whether contested or uncontested, unless the stipulation or settlement is reasonable in light of the whole record, consistent with law, and in the public interest. </w:t>
      </w:r>
    </w:p>
    <w:p>
      <w:pPr>
        <w:pStyle w:val="H3"/>
        <w:rPr>
          <w:rFonts w:ascii="Arial" w:hAnsi="Arial" w:cs="Arial"/>
          <w:sz w:val="24"/>
        </w:rPr>
      </w:pPr>
      <w:r>
        <w:rPr>
          <w:rFonts w:cs="Arial" w:ascii="Arial" w:hAnsi="Arial"/>
          <w:sz w:val="24"/>
        </w:rPr>
        <w:t xml:space="preserve">51.2. (Rule 51.2) Timing.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Parties to a Commission proceeding may propose a stipulation or settlement for adoption by the Commission (1) any time after the first prehearing conference and (2) within 30 days after the last day of hearing. </w:t>
      </w:r>
    </w:p>
    <w:p>
      <w:pPr>
        <w:pStyle w:val="H3"/>
        <w:rPr>
          <w:rFonts w:ascii="Arial" w:hAnsi="Arial" w:cs="Arial"/>
          <w:sz w:val="24"/>
        </w:rPr>
      </w:pPr>
      <w:r>
        <w:rPr>
          <w:rFonts w:cs="Arial" w:ascii="Arial" w:hAnsi="Arial"/>
          <w:sz w:val="24"/>
        </w:rPr>
        <w:t xml:space="preserve">51.3. (Rule 51.3) Filing.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Parties proposing a stipulation or settlement for adoption by the Commission shall concurrently file their proposal in accordance with the rules applicable to pleadings (see Article 2), and shall serve the proposal on all parties to the proceeding. </w:t>
      </w:r>
    </w:p>
    <w:p>
      <w:pPr>
        <w:pStyle w:val="H3"/>
        <w:rPr>
          <w:rFonts w:ascii="Arial" w:hAnsi="Arial" w:cs="Arial"/>
          <w:sz w:val="24"/>
        </w:rPr>
      </w:pPr>
      <w:r>
        <w:rPr>
          <w:rFonts w:cs="Arial" w:ascii="Arial" w:hAnsi="Arial"/>
          <w:sz w:val="24"/>
        </w:rPr>
        <w:t xml:space="preserve">51.4. (Rule 51.4) Comment Period. </w:t>
      </w:r>
    </w:p>
    <w:p>
      <w:pPr>
        <w:pStyle w:val="Normal"/>
        <w:ind w:start="1080" w:end="0"/>
        <w:rPr>
          <w:rFonts w:ascii="Palatino;Book Antiqua" w:hAnsi="Palatino;Book Antiqua" w:cs="Palatino;Book Antiqua"/>
        </w:rPr>
      </w:pPr>
      <w:r>
        <w:rPr>
          <w:rFonts w:cs="Palatino;Book Antiqua" w:ascii="Palatino;Book Antiqua" w:hAnsi="Palatino;Book Antiqua"/>
        </w:rPr>
        <w:t xml:space="preserve">Whenever a party to a proceeding does not expressly join in a stipulation or settlement proposed for adoption by the Commission in that proceeding, such party shall have 30 days from the date of mailing of the stipulation or settlement within which to file comments contesting all or part of the stipulation or settlement, and shall serve such comments on all parties to the proceeding. Parties shall have 15 days after the comments are filed within which to file reply comments. The assigned administrative law judge may extend the comment and/or response period on motion and for good cause. </w:t>
      </w:r>
    </w:p>
    <w:p>
      <w:pPr>
        <w:pStyle w:val="H3"/>
        <w:rPr>
          <w:rFonts w:ascii="Arial" w:hAnsi="Arial" w:cs="Arial"/>
          <w:sz w:val="24"/>
        </w:rPr>
      </w:pPr>
      <w:r>
        <w:rPr>
          <w:rFonts w:cs="Arial" w:ascii="Arial" w:hAnsi="Arial"/>
          <w:sz w:val="24"/>
        </w:rPr>
        <w:t xml:space="preserve">51.5. (Rule 51.5) Contents of Comments.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 party contesting a proposed stipulation or settlement must specify in its comments the portions of the stipulation or settlement that it opposes, the legal basis of its opposition, and the factual issues that it contests. Parties should indicate the extent of their planned participation at any hearing. If the contesting party asserts that hearing is required by law, appropriate citation shall be provided. Any failure by a party to file comments constitutes waiver by that party of all objections to the stipulation or settlement, including the right to hearing to the extent that such hearing is not otherwise required by law. </w:t>
      </w:r>
    </w:p>
    <w:p>
      <w:pPr>
        <w:pStyle w:val="H3"/>
        <w:rPr>
          <w:rFonts w:ascii="Arial" w:hAnsi="Arial" w:cs="Arial"/>
          <w:sz w:val="24"/>
        </w:rPr>
      </w:pPr>
      <w:r>
        <w:rPr>
          <w:rFonts w:cs="Arial" w:ascii="Arial" w:hAnsi="Arial"/>
          <w:sz w:val="24"/>
        </w:rPr>
        <w:t xml:space="preserve">51.6. (Rule 51.6) Contested Stipulations and Settlements.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 If the stipulation or settlement is contested, pursuant to Rule 51.4, in whole or in part on any material issue of fact by any party, the Commission will schedule a hearing on the contested issue(s) as soon after the close of the comment period as reasonably possible. Discovery will be permitted and should be well underway prior to the close of the comment period. Parties to the stipulation or settlement must provide one or more witnesses to testify concerning the contested issues and to undergo cross-examination by contesting parties. Contesting parties may present evidence and testimony on the contested issues.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(b) The Commission may decline to set hearing in any case where the contested issue of fact is not material or where the contested issue is one of law. In the latter case, opportunity for briefs will be provided. </w:t>
      </w:r>
    </w:p>
    <w:p>
      <w:pPr>
        <w:pStyle w:val="Normal"/>
        <w:ind w:start="1080" w:end="0"/>
        <w:rPr>
          <w:rFonts w:ascii="Palatino;Book Antiqua" w:hAnsi="Palatino;Book Antiqua" w:cs="Palatino;Book Antiqua"/>
        </w:rPr>
      </w:pPr>
      <w:r>
        <w:rPr>
          <w:rFonts w:cs="Palatino;Book Antiqua" w:ascii="Palatino;Book Antiqua" w:hAnsi="Palatino;Book Antiqua"/>
        </w:rPr>
        <w:t xml:space="preserve">To ensure that the process of considering stipulations and settlements is in the public interest, opportunity may also be provided for additional prehearing conferences and any other procedure deemed reasonable to develop the record on which the Commission will base its decision. </w:t>
      </w:r>
    </w:p>
    <w:p>
      <w:pPr>
        <w:pStyle w:val="Normal"/>
        <w:ind w:start="1080" w:end="0"/>
        <w:rPr>
          <w:rFonts w:ascii="Palatino;Book Antiqua" w:hAnsi="Palatino;Book Antiqua" w:cs="Palatino;Book Antiqua"/>
        </w:rPr>
      </w:pPr>
      <w:r>
        <w:rPr>
          <w:rFonts w:cs="Palatino;Book Antiqua" w:ascii="Palatino;Book Antiqua" w:hAnsi="Palatino;Book Antiqua"/>
        </w:rPr>
        <w:t xml:space="preserve">(c) Stipulations may be accepted on the record in any proceeding and the assigned administrative law judge may waive application of these rules to the stipulation upon motion and for good cause shown. </w:t>
      </w:r>
    </w:p>
    <w:p>
      <w:pPr>
        <w:pStyle w:val="H3"/>
        <w:rPr>
          <w:rFonts w:ascii="Arial" w:hAnsi="Arial" w:cs="Arial"/>
          <w:sz w:val="24"/>
        </w:rPr>
      </w:pPr>
      <w:r>
        <w:rPr>
          <w:rFonts w:cs="Arial" w:ascii="Arial" w:hAnsi="Arial"/>
          <w:sz w:val="24"/>
        </w:rPr>
        <w:t xml:space="preserve">51.7. (Rule 51.7) Commission Rejection of a Stipulation or Settlement. </w:t>
      </w:r>
    </w:p>
    <w:p>
      <w:pPr>
        <w:pStyle w:val="Normal"/>
        <w:ind w:start="1080" w:end="0"/>
        <w:rPr>
          <w:rFonts w:ascii="Palatino;Book Antiqua" w:hAnsi="Palatino;Book Antiqua" w:cs="Palatino;Book Antiqua"/>
        </w:rPr>
      </w:pPr>
      <w:r>
        <w:rPr>
          <w:rFonts w:cs="Palatino;Book Antiqua" w:ascii="Palatino;Book Antiqua" w:hAnsi="Palatino;Book Antiqua"/>
        </w:rPr>
        <w:t xml:space="preserve">The Commission may reject a proposed stipulation or settlement without hearing whenever it determines that the stipulation or settlement is not in the public interest. Upon rejection of the settlement, the Commission may take various steps, including the following: </w:t>
      </w:r>
    </w:p>
    <w:p>
      <w:pPr>
        <w:pStyle w:val="Normal"/>
        <w:ind w:start="1800" w:end="0"/>
        <w:rPr>
          <w:rFonts w:ascii="Palatino;Book Antiqua" w:hAnsi="Palatino;Book Antiqua" w:cs="Palatino;Book Antiqua"/>
        </w:rPr>
      </w:pPr>
      <w:r>
        <w:rPr>
          <w:rFonts w:cs="Palatino;Book Antiqua" w:ascii="Palatino;Book Antiqua" w:hAnsi="Palatino;Book Antiqua"/>
        </w:rPr>
        <w:t xml:space="preserve">1. Hold hearings on the underlying issues, in which case the parties to the stipulation may either withdraw it or offer it as joint testimony, </w:t>
      </w:r>
    </w:p>
    <w:p>
      <w:pPr>
        <w:pStyle w:val="Normal"/>
        <w:ind w:start="1800" w:end="0"/>
        <w:rPr>
          <w:rFonts w:ascii="Palatino;Book Antiqua" w:hAnsi="Palatino;Book Antiqua" w:cs="Palatino;Book Antiqua"/>
        </w:rPr>
      </w:pPr>
      <w:r>
        <w:rPr>
          <w:rFonts w:cs="Palatino;Book Antiqua" w:ascii="Palatino;Book Antiqua" w:hAnsi="Palatino;Book Antiqua"/>
        </w:rPr>
        <w:t xml:space="preserve">2. Allow the parties time to renegotiate the settlement, </w:t>
      </w:r>
    </w:p>
    <w:p>
      <w:pPr>
        <w:pStyle w:val="Normal"/>
        <w:ind w:start="1800" w:end="0"/>
        <w:rPr>
          <w:rFonts w:ascii="Palatino;Book Antiqua" w:hAnsi="Palatino;Book Antiqua" w:cs="Palatino;Book Antiqua"/>
        </w:rPr>
      </w:pPr>
      <w:r>
        <w:rPr>
          <w:rFonts w:cs="Palatino;Book Antiqua" w:ascii="Palatino;Book Antiqua" w:hAnsi="Palatino;Book Antiqua"/>
        </w:rPr>
        <w:t xml:space="preserve">3. Propose alternative terms to the parties to the settlement which are acceptable to the Commission and allow the parties reasonable time within which to elect to accept such terms or to request other relief. </w:t>
      </w:r>
    </w:p>
    <w:p>
      <w:pPr>
        <w:pStyle w:val="H3"/>
        <w:rPr>
          <w:rFonts w:ascii="Arial" w:hAnsi="Arial" w:cs="Arial"/>
          <w:sz w:val="24"/>
        </w:rPr>
      </w:pPr>
      <w:r>
        <w:rPr>
          <w:rFonts w:cs="Arial" w:ascii="Arial" w:hAnsi="Arial"/>
          <w:sz w:val="24"/>
        </w:rPr>
        <w:t xml:space="preserve">51.8. (Rule 51.8) Adoption Binding, Not Precedential. </w:t>
      </w:r>
    </w:p>
    <w:p>
      <w:pPr>
        <w:pStyle w:val="Normal"/>
        <w:ind w:start="1080" w:end="0"/>
        <w:rPr>
          <w:rFonts w:ascii="Palatino;Book Antiqua" w:hAnsi="Palatino;Book Antiqua" w:cs="Palatino;Book Antiqua"/>
        </w:rPr>
      </w:pPr>
      <w:r>
        <w:rPr>
          <w:rFonts w:cs="Palatino;Book Antiqua" w:ascii="Palatino;Book Antiqua" w:hAnsi="Palatino;Book Antiqua"/>
        </w:rPr>
        <w:t>Commission adoption of a stipulation or settlement is binding on all parties to the proceeding in which the stipulation or settlement is proposed. Unless the Commission expressly provides otherwise, such adoption does not constitute approval of, or precedent regarding, any principle or issue in the proceeding or in any future proceeding.</w:t>
      </w:r>
    </w:p>
    <w:p>
      <w:pPr>
        <w:pStyle w:val="H3"/>
        <w:rPr>
          <w:rFonts w:ascii="Arial" w:hAnsi="Arial" w:cs="Arial"/>
          <w:sz w:val="24"/>
        </w:rPr>
      </w:pPr>
      <w:r>
        <w:rPr>
          <w:rFonts w:cs="Arial" w:ascii="Arial" w:hAnsi="Arial"/>
          <w:sz w:val="24"/>
        </w:rPr>
        <w:t xml:space="preserve">51.9. (Rule 51.9) Inadmissibility. </w:t>
      </w:r>
    </w:p>
    <w:p>
      <w:pPr>
        <w:pStyle w:val="Normal"/>
        <w:ind w:start="1080" w:end="0"/>
        <w:rPr>
          <w:rFonts w:ascii="Palatino;Book Antiqua" w:hAnsi="Palatino;Book Antiqua" w:cs="Palatino;Book Antiqua"/>
        </w:rPr>
      </w:pPr>
      <w:r>
        <w:rPr>
          <w:rFonts w:cs="Palatino;Book Antiqua" w:ascii="Palatino;Book Antiqua" w:hAnsi="Palatino;Book Antiqua"/>
        </w:rPr>
        <w:t xml:space="preserve">No discussion, admission, concession or offer to stipulate or settle, whether oral or written, made during any negotiation on a stipulation or settlement shall be subject to discovery, or admissible in any evidentiary hearing against any participant who objects to its admission. Participating parties and their representatives shall hold such discussions, admissions, concessions, and offers to stipulate or settle confidential and shall not disclose them outside the negotiations without the consent of the parties participating in the negotiations. </w:t>
      </w:r>
    </w:p>
    <w:p>
      <w:pPr>
        <w:pStyle w:val="Normal"/>
        <w:ind w:start="1080" w:end="0"/>
        <w:rPr>
          <w:rFonts w:ascii="Palatino;Book Antiqua" w:hAnsi="Palatino;Book Antiqua" w:cs="Palatino;Book Antiqua"/>
        </w:rPr>
      </w:pPr>
      <w:r>
        <w:rPr>
          <w:rFonts w:cs="Palatino;Book Antiqua" w:ascii="Palatino;Book Antiqua" w:hAnsi="Palatino;Book Antiqua"/>
        </w:rPr>
        <w:t xml:space="preserve">If a stipulation or settlement is not adopted by the Commission, the terms of the proposed stipulation or settlement are also inadmissible unless their admission is agreed to by all parties joining in the proposal. </w:t>
      </w:r>
    </w:p>
    <w:p>
      <w:pPr>
        <w:pStyle w:val="H3"/>
        <w:rPr>
          <w:rFonts w:ascii="Arial" w:hAnsi="Arial" w:cs="Arial"/>
          <w:sz w:val="24"/>
        </w:rPr>
      </w:pPr>
      <w:r>
        <w:rPr>
          <w:rFonts w:cs="Arial" w:ascii="Arial" w:hAnsi="Arial"/>
          <w:sz w:val="24"/>
        </w:rPr>
        <w:t xml:space="preserve">51.10. (Rule 51.10) Applicability. </w:t>
      </w:r>
    </w:p>
    <w:p>
      <w:pPr>
        <w:pStyle w:val="Normal"/>
        <w:ind w:start="1080" w:end="0"/>
        <w:rPr>
          <w:rFonts w:ascii="Palatino;Book Antiqua" w:hAnsi="Palatino;Book Antiqua" w:cs="Palatino;Book Antiqua"/>
        </w:rPr>
      </w:pPr>
      <w:r>
        <w:rPr>
          <w:rFonts w:cs="Palatino;Book Antiqua" w:ascii="Palatino;Book Antiqua" w:hAnsi="Palatino;Book Antiqua"/>
        </w:rPr>
        <w:t xml:space="preserve">These rules shall apply on and after the effective date of the decision promulgating them in all formal proceedings involving gas, electric, telephone, and Class A water utilities.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In proceedings where all parties join in the proposed stipulation or settlement, a motion for waiver of these rules may be filed. Such motion should demonstrate that the public interest will not be impaired by the waiver of these rules.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Any party in other proceedings before the Commission may file a motion showing good cause for applying these rules to settlements or stipulations in a particular matter. Such motion shall demonstrate that it is in the public interest to apply these rules in that proceeding. Protests to the motion may be oral or written. </w:t>
      </w:r>
    </w:p>
    <w:p>
      <w:pPr>
        <w:pStyle w:val="Normal"/>
        <w:ind w:start="1080" w:end="0"/>
        <w:rPr>
          <w:rFonts w:ascii="Palatino;Book Antiqua" w:hAnsi="Palatino;Book Antiqua" w:cs="Palatino;Book Antiqua"/>
        </w:rPr>
      </w:pPr>
      <w:r>
        <w:rPr>
          <w:rFonts w:cs="Palatino;Book Antiqua" w:ascii="Palatino;Book Antiqua" w:hAnsi="Palatino;Book Antiqua"/>
        </w:rPr>
        <w:t xml:space="preserve">Exhibits may be sponsored by two or more parties in a Commission hearing as joint testimony without application of these rules. </w:t>
      </w:r>
    </w:p>
    <w:p>
      <w:pPr>
        <w:pStyle w:val="Normal"/>
        <w:jc w:val="center"/>
        <w:rPr>
          <w:sz w:val="20"/>
        </w:rPr>
      </w:pPr>
      <w:r>
        <w:rPr>
          <w:sz w:val="20"/>
        </w:rPr>
        <w:drawing>
          <wp:inline distT="0" distB="0" distL="0" distR="0">
            <wp:extent cx="5715000" cy="28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266" r="-6" b="-1266"/>
                    <a:stretch>
                      <a:fillRect/>
                    </a:stretch>
                  </pic:blipFill>
                  <pic:spPr bwMode="auto">
                    <a:xfrm>
                      <a:off x="0" y="0"/>
                      <a:ext cx="5715000" cy="28575"/>
                    </a:xfrm>
                    <a:prstGeom prst="rect">
                      <a:avLst/>
                    </a:prstGeom>
                    <a:noFill/>
                  </pic:spPr>
                </pic:pic>
              </a:graphicData>
            </a:graphic>
          </wp:inline>
        </w:drawing>
      </w:r>
    </w:p>
    <w:p>
      <w:pPr>
        <w:pStyle w:val="Normal"/>
        <w:rPr/>
      </w:pPr>
      <w:r>
        <w:rPr/>
        <w:t>JOD—Jeffrey Dasovich, Director, Enron Corp</w:t>
      </w:r>
    </w:p>
    <w:p>
      <w:pPr>
        <w:pStyle w:val="Normal"/>
        <w:rPr/>
      </w:pPr>
      <w:r>
        <w:rPr/>
        <w:t>October 24, 2000</w:t>
      </w:r>
    </w:p>
    <w:sectPr>
      <w:headerReference w:type="default" r:id="rId3"/>
      <w:headerReference w:type="first" r:id="rId4"/>
      <w:footerReference w:type="default" r:id="rId5"/>
      <w:footerReference w:type="first" r:id="rId6"/>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1"/>
      <w:spacing w:before="0" w:after="0"/>
      <w:rPr>
        <w:sz w:val="30"/>
      </w:rPr>
    </w:pPr>
    <w:r>
      <w:rPr>
        <w:sz w:val="30"/>
      </w:rPr>
      <w:t>Rules of Practice and Procedure</w:t>
    </w:r>
  </w:p>
  <w:p>
    <w:pPr>
      <w:pStyle w:val="H2"/>
      <w:spacing w:before="0" w:after="0"/>
      <w:rPr>
        <w:sz w:val="24"/>
      </w:rPr>
    </w:pPr>
    <w:r>
      <w:rPr>
        <w:rFonts w:cs="Arial" w:ascii="Arial" w:hAnsi="Arial"/>
        <w:i/>
        <w:sz w:val="24"/>
      </w:rPr>
      <w:t>Article 13.5. Stipulations and Settlements (continued)</w:t>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pPr>
    <w:rPr>
      <w:b/>
      <w:kern w:val="2"/>
      <w:sz w:val="48"/>
    </w:rPr>
  </w:style>
  <w:style w:type="paragraph" w:styleId="H2">
    <w:name w:val="H2"/>
    <w:basedOn w:val="Normal"/>
    <w:next w:val="Normal"/>
    <w:qFormat/>
    <w:pPr>
      <w:keepNext w:val="true"/>
      <w:spacing w:before="100" w:after="100"/>
    </w:pPr>
    <w:rPr>
      <w:b/>
      <w:sz w:val="36"/>
    </w:rPr>
  </w:style>
  <w:style w:type="paragraph" w:styleId="H3">
    <w:name w:val="H3"/>
    <w:basedOn w:val="Normal"/>
    <w:next w:val="Normal"/>
    <w:qFormat/>
    <w:pPr>
      <w:keepNext w:val="true"/>
      <w:spacing w:before="100" w:after="100"/>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2000-10-24T15:14:00Z</dcterms:created>
  <dc:creator>A Valued Microsoft Customer</dc:creator>
  <dc:description/>
  <dc:language>en-CA</dc:language>
  <cp:lastModifiedBy>jdasovic</cp:lastModifiedBy>
  <dcterms:modified xsi:type="dcterms:W3CDTF">2000-10-24T15:22:00Z</dcterms:modified>
  <cp:revision>3</cp:revision>
  <dc:subject/>
  <dc:title>   </dc:title>
</cp:coreProperties>
</file>