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pPr>
      <w:r>
        <w:rPr/>
      </w:r>
    </w:p>
    <w:p>
      <w:pPr>
        <w:pStyle w:val="Normal"/>
        <w:widowControl/>
        <w:rPr/>
      </w:pPr>
      <w:r>
        <w:rPr/>
      </w:r>
    </w:p>
    <w:p>
      <w:pPr>
        <w:pStyle w:val="Normal"/>
        <w:widowControl/>
        <w:jc w:val="center"/>
        <w:rPr>
          <w:u w:val="single"/>
        </w:rPr>
      </w:pPr>
      <w:r>
        <w:rPr>
          <w:u w:val="single"/>
        </w:rPr>
      </w:r>
    </w:p>
    <w:p>
      <w:pPr>
        <w:pStyle w:val="Normal"/>
        <w:widowControl/>
        <w:jc w:val="center"/>
        <w:rPr/>
      </w:pPr>
      <w:r>
        <w:rPr/>
        <w:t>RULE 21.2 - CUSTOMER ASSIGNMENT OF INTRASTATE CAPACITY RIGHTS</w:t>
      </w:r>
    </w:p>
    <w:p>
      <w:pPr>
        <w:pStyle w:val="Normal"/>
        <w:widowControl/>
        <w:jc w:val="center"/>
        <w:rPr/>
      </w:pPr>
      <w:r>
        <w:rPr/>
      </w:r>
    </w:p>
    <w:p>
      <w:pPr>
        <w:pStyle w:val="Normal"/>
        <w:widowControl/>
        <w:jc w:val="center"/>
        <w:rPr/>
      </w:pPr>
      <w:r>
        <w:rPr/>
      </w:r>
    </w:p>
    <w:p>
      <w:pPr>
        <w:pStyle w:val="RateBody"/>
        <w:widowControl/>
        <w:suppressAutoHyphens w:val="false"/>
        <w:spacing w:lineRule="auto" w:line="240" w:before="0" w:after="0"/>
        <w:jc w:val="both"/>
        <w:rPr>
          <w:b/>
          <w:sz w:val="22"/>
        </w:rPr>
      </w:pPr>
      <w:r>
        <w:rPr>
          <w:b/>
          <w:sz w:val="24"/>
        </w:rPr>
        <w:t>Applicability</w:t>
      </w:r>
      <w:r>
        <w:rPr>
          <w:sz w:val="24"/>
        </w:rPr>
        <w:t xml:space="preserve">: </w:t>
        <w:tab/>
        <w:t xml:space="preserve">This Rule applies to Customer assignment of intrastate capacity rights on Pacific Gas and Electric Company’s (PG&amp;E) intrastate natural gas transportation pipeline system. </w:t>
      </w:r>
    </w:p>
    <w:p>
      <w:pPr>
        <w:pStyle w:val="RateBody"/>
        <w:widowControl/>
        <w:suppressAutoHyphens w:val="false"/>
        <w:spacing w:lineRule="auto" w:line="240" w:before="0" w:after="0"/>
        <w:rPr>
          <w:b/>
          <w:sz w:val="24"/>
        </w:rPr>
      </w:pPr>
      <w:r>
        <w:rPr>
          <w:b/>
          <w:sz w:val="24"/>
        </w:rPr>
      </w:r>
    </w:p>
    <w:p>
      <w:pPr>
        <w:pStyle w:val="Normal"/>
        <w:widowControl/>
        <w:tabs>
          <w:tab w:val="clear" w:pos="720"/>
          <w:tab w:val="left" w:pos="360" w:leader="none"/>
        </w:tabs>
        <w:rPr>
          <w:b/>
        </w:rPr>
      </w:pPr>
      <w:r>
        <w:rPr>
          <w:b/>
        </w:rPr>
        <w:t>A.  INTRASTATE CAPACITY ASSIGNMENTS</w:t>
        <w:br/>
      </w:r>
    </w:p>
    <w:p>
      <w:pPr>
        <w:pStyle w:val="Normal"/>
        <w:widowControl/>
        <w:numPr>
          <w:ilvl w:val="0"/>
          <w:numId w:val="2"/>
        </w:numPr>
        <w:jc w:val="both"/>
        <w:rPr/>
      </w:pPr>
      <w:r>
        <w:rPr/>
        <w:t>A Customer (Assignor) who holds a current Gas Transmission Service Agreement (GTSA) with a current GTSA exhibit (Exhibit) may assign its intrastate capacity rights identified in the Exhibit to another party (Assignee). Such assignment(s) may consist of all or a portion of Assignor’s contract quantity for all or part of Assignor’s remaining contract term.</w:t>
      </w:r>
    </w:p>
    <w:p>
      <w:pPr>
        <w:pStyle w:val="Normal"/>
        <w:widowControl/>
        <w:jc w:val="both"/>
        <w:rPr/>
      </w:pPr>
      <w:r>
        <w:rPr/>
      </w:r>
    </w:p>
    <w:p>
      <w:pPr>
        <w:pStyle w:val="Normal"/>
        <w:widowControl/>
        <w:numPr>
          <w:ilvl w:val="0"/>
          <w:numId w:val="2"/>
        </w:numPr>
        <w:jc w:val="both"/>
        <w:rPr/>
      </w:pPr>
      <w:r>
        <w:rPr/>
        <w:t>An Assignor may assign its intrastate capacity rights either by:</w:t>
      </w:r>
    </w:p>
    <w:p>
      <w:pPr>
        <w:pStyle w:val="Normal"/>
        <w:widowControl/>
        <w:ind w:start="360" w:end="0"/>
        <w:jc w:val="both"/>
        <w:rPr/>
      </w:pPr>
      <w:r>
        <w:rPr/>
      </w:r>
    </w:p>
    <w:p>
      <w:pPr>
        <w:pStyle w:val="Normal"/>
        <w:widowControl/>
        <w:numPr>
          <w:ilvl w:val="1"/>
          <w:numId w:val="2"/>
        </w:numPr>
        <w:jc w:val="both"/>
        <w:rPr/>
      </w:pPr>
      <w:r>
        <w:rPr/>
        <w:t>Submitting to PG&amp;E an executed original of Form No. 79-867 (Assignment of Gas Transmission Services);  or,</w:t>
      </w:r>
    </w:p>
    <w:p>
      <w:pPr>
        <w:pStyle w:val="Normal"/>
        <w:widowControl/>
        <w:ind w:start="360" w:end="0"/>
        <w:jc w:val="both"/>
        <w:rPr/>
      </w:pPr>
      <w:r>
        <w:rPr/>
      </w:r>
    </w:p>
    <w:p>
      <w:pPr>
        <w:pStyle w:val="Normal"/>
        <w:widowControl/>
        <w:numPr>
          <w:ilvl w:val="1"/>
          <w:numId w:val="2"/>
        </w:numPr>
        <w:jc w:val="both"/>
        <w:rPr/>
      </w:pPr>
      <w:r>
        <w:rPr/>
        <w:t xml:space="preserve">Assigning its intrastate capacity rights via the electronic transaction system provided by the PG&amp;E authorized Third Party Service Provider (TPSP). </w:t>
      </w:r>
    </w:p>
    <w:p>
      <w:pPr>
        <w:pStyle w:val="Normal"/>
        <w:widowControl/>
        <w:ind w:start="360" w:end="0"/>
        <w:jc w:val="both"/>
        <w:rPr/>
      </w:pPr>
      <w:r>
        <w:rPr/>
      </w:r>
    </w:p>
    <w:p>
      <w:pPr>
        <w:pStyle w:val="Normal"/>
        <w:widowControl/>
        <w:numPr>
          <w:ilvl w:val="0"/>
          <w:numId w:val="2"/>
        </w:numPr>
        <w:jc w:val="both"/>
        <w:rPr/>
      </w:pPr>
      <w:r>
        <w:rPr/>
        <w:t>To facilitate trades on the TPSP’s electronic transaction system, PG&amp;E shall maintain a list of PG&amp;E customers who meet PG&amp;E’s creditworthiness requirements specified in PG&amp;E Gas Rule 25.  PG&amp;E shall provide a list of such pre-approved customers (Authorized Trading Partner(s)), including each Authorized Trading Partner’s transaction limit, to the TPSP and shall update the list of Authorized Trading Partners every _______.  The TPSP shall keep the list of Authorized Trading Partners confidential.</w:t>
      </w:r>
    </w:p>
    <w:p>
      <w:pPr>
        <w:pStyle w:val="Normal"/>
        <w:widowControl/>
        <w:rPr/>
      </w:pPr>
      <w:r>
        <w:rPr/>
      </w:r>
    </w:p>
    <w:p>
      <w:pPr>
        <w:pStyle w:val="Normal"/>
        <w:widowControl/>
        <w:numPr>
          <w:ilvl w:val="0"/>
          <w:numId w:val="2"/>
        </w:numPr>
        <w:jc w:val="both"/>
        <w:rPr/>
      </w:pPr>
      <w:r>
        <w:rPr/>
        <w:t xml:space="preserve">An assignment pursuant to section A(2)(a) or an assignment pursuant to section A(2)(b) to a party other than an Authorized Trading Partner, shall be effective upon notification by PG&amp;E of its approval of the assignment to the Assignor, Assignee and where appropriate, to the TPSP. </w:t>
      </w:r>
    </w:p>
    <w:p>
      <w:pPr>
        <w:pStyle w:val="Normal"/>
        <w:widowControl/>
        <w:ind w:firstLine="360" w:end="0"/>
        <w:jc w:val="both"/>
        <w:rPr/>
      </w:pPr>
      <w:r>
        <w:rPr/>
      </w:r>
    </w:p>
    <w:p>
      <w:pPr>
        <w:pStyle w:val="Normal"/>
        <w:widowControl/>
        <w:ind w:start="360" w:end="0"/>
        <w:jc w:val="both"/>
        <w:rPr/>
      </w:pPr>
      <w:r>
        <w:rPr/>
        <w:t>Where the Assignee meets the creditworthiness requirements specified in PG&amp;E Gas Rule 25, PG&amp;E shall grant its approval to the assignment.  If PG&amp;E determines that the potential Assignee does not satisfy PG&amp;E’s creditworthiness requirements, PG&amp;E shall notify the Assignor, Assignee and where appropriate, the TPSP, of its denial of the assignment.  PG&amp;E shall confirm or deny the assignment within four PG&amp;E (4) working hours.  PG&amp;E’s working hours are _________, Monday through Friday, Pacific Standard Time.</w:t>
      </w:r>
    </w:p>
    <w:p>
      <w:pPr>
        <w:pStyle w:val="Normal"/>
        <w:widowControl/>
        <w:jc w:val="both"/>
        <w:rPr/>
      </w:pPr>
      <w:r>
        <w:rPr/>
      </w:r>
    </w:p>
    <w:p>
      <w:pPr>
        <w:pStyle w:val="Normal"/>
        <w:widowControl/>
        <w:numPr>
          <w:ilvl w:val="0"/>
          <w:numId w:val="2"/>
        </w:numPr>
        <w:jc w:val="both"/>
        <w:rPr/>
      </w:pPr>
      <w:r>
        <w:rPr/>
        <w:t>An assignment made pursuant to section A(2)(b) to an Authorized Trading Partner shall be effective without PG&amp;E confirmation.  For assignments under section A(2)(b), the TPSP shall provide confirmation of the assignment on its electronic trading system, to the Assignor and Assignee within one working hour.  The TPSP’s working hours are _______, Monday through Friday, Pacific Standard Time.</w:t>
      </w:r>
    </w:p>
    <w:p>
      <w:pPr>
        <w:pStyle w:val="Normal"/>
        <w:widowControl/>
        <w:jc w:val="both"/>
        <w:rPr/>
      </w:pPr>
      <w:r>
        <w:rPr/>
      </w:r>
    </w:p>
    <w:p>
      <w:pPr>
        <w:pStyle w:val="Normal"/>
        <w:widowControl/>
        <w:numPr>
          <w:ilvl w:val="0"/>
          <w:numId w:val="2"/>
        </w:numPr>
        <w:jc w:val="both"/>
        <w:rPr/>
      </w:pPr>
      <w:r>
        <w:rPr/>
        <w:t xml:space="preserve">Upon confirmation of the assignment between an Assignor and Assignee by either the TPSP or PG&amp;E, Assignee shall be responsible for the performance of all terms. obligations and obligations, including payment obligation under the GTSA and Exhibit, as well as PG&amp;E’s gas rules and applicable rate schedules. and agrees to perform them fully for the term of the assignment.  Any payment above or below the rate stated in the Exhibit shall be collected from Assignor/Assignee by the TPSP and credited as appropriate to the Assignor/Assignee.  </w:t>
      </w:r>
    </w:p>
    <w:p>
      <w:pPr>
        <w:pStyle w:val="Normal"/>
        <w:widowControl/>
        <w:rPr/>
      </w:pPr>
      <w:r>
        <w:rPr/>
      </w:r>
    </w:p>
    <w:p>
      <w:pPr>
        <w:pStyle w:val="Normal"/>
        <w:widowControl/>
        <w:tabs>
          <w:tab w:val="clear" w:pos="720"/>
          <w:tab w:val="left" w:pos="360" w:leader="none"/>
        </w:tabs>
        <w:spacing w:before="0" w:after="240"/>
        <w:rPr>
          <w:b/>
        </w:rPr>
      </w:pPr>
      <w:r>
        <w:rPr>
          <w:b/>
        </w:rPr>
        <w:t>B.</w:t>
        <w:tab/>
        <w:t>TPSP SERVICE CONDITIONS</w:t>
      </w:r>
    </w:p>
    <w:p>
      <w:pPr>
        <w:pStyle w:val="Normal"/>
        <w:widowControl/>
        <w:numPr>
          <w:ilvl w:val="0"/>
          <w:numId w:val="1"/>
        </w:numPr>
        <w:tabs>
          <w:tab w:val="left" w:pos="720" w:leader="none"/>
        </w:tabs>
        <w:jc w:val="both"/>
        <w:rPr/>
      </w:pPr>
      <w:r>
        <w:rPr/>
        <w:t>The TPSP authorized by PG&amp;E to provide an electronic transaction system to trade intrastate capacity rights shall comply with the following conditions:</w:t>
      </w:r>
    </w:p>
    <w:p>
      <w:pPr>
        <w:pStyle w:val="Normal"/>
        <w:widowControl/>
        <w:tabs>
          <w:tab w:val="left" w:pos="720" w:leader="none"/>
        </w:tabs>
        <w:jc w:val="both"/>
        <w:rPr/>
      </w:pPr>
      <w:r>
        <w:rPr/>
      </w:r>
    </w:p>
    <w:p>
      <w:pPr>
        <w:pStyle w:val="Normal"/>
        <w:widowControl/>
        <w:numPr>
          <w:ilvl w:val="1"/>
          <w:numId w:val="1"/>
        </w:numPr>
        <w:jc w:val="both"/>
        <w:rPr/>
      </w:pPr>
      <w:r>
        <w:rPr/>
        <w:t xml:space="preserve">The TPSP shall offer several subscription service options including a general service plan which includes PG&amp;E-related trading services. PG&amp;E-related trading services are Imbalance Trading, OFO Imbalance Rights Trading, and Capacity Assignment.  </w:t>
      </w:r>
    </w:p>
    <w:p>
      <w:pPr>
        <w:pStyle w:val="Normal"/>
        <w:widowControl/>
        <w:ind w:start="360" w:end="0"/>
        <w:jc w:val="both"/>
        <w:rPr/>
      </w:pPr>
      <w:r>
        <w:rPr/>
      </w:r>
    </w:p>
    <w:p>
      <w:pPr>
        <w:pStyle w:val="Normal"/>
        <w:widowControl/>
        <w:numPr>
          <w:ilvl w:val="1"/>
          <w:numId w:val="1"/>
        </w:numPr>
        <w:jc w:val="both"/>
        <w:rPr/>
      </w:pPr>
      <w:r>
        <w:rPr/>
        <w:t xml:space="preserve">The TPSP shall also offer a limited subscription option which provides rights to utilize the TPSP’s electronic transaction system for PG&amp;E-related trading services only. </w:t>
      </w:r>
    </w:p>
    <w:p>
      <w:pPr>
        <w:pStyle w:val="Normal"/>
        <w:widowControl/>
        <w:rPr/>
      </w:pPr>
      <w:r>
        <w:rPr/>
      </w:r>
    </w:p>
    <w:p>
      <w:pPr>
        <w:pStyle w:val="Normal"/>
        <w:widowControl/>
        <w:numPr>
          <w:ilvl w:val="1"/>
          <w:numId w:val="1"/>
        </w:numPr>
        <w:rPr/>
      </w:pPr>
      <w:r>
        <w:rPr/>
        <w:t xml:space="preserve">The TPSP shall charge subscription and transaction fees for PG&amp;E-related trading service subject to the following fee caps: </w:t>
      </w:r>
    </w:p>
    <w:p>
      <w:pPr>
        <w:pStyle w:val="Normal"/>
        <w:widowControl/>
        <w:rPr/>
      </w:pPr>
      <w:r>
        <w:rPr/>
      </w:r>
    </w:p>
    <w:p>
      <w:pPr>
        <w:pStyle w:val="Normal"/>
        <w:widowControl/>
        <w:numPr>
          <w:ilvl w:val="3"/>
          <w:numId w:val="1"/>
        </w:numPr>
        <w:jc w:val="both"/>
        <w:rPr/>
      </w:pPr>
      <w:r>
        <w:rPr/>
        <w:t>The transaction fee per Assignor and Assignee shall not exceed $0.005 per Dth of capacity for each transaction.</w:t>
      </w:r>
    </w:p>
    <w:p>
      <w:pPr>
        <w:pStyle w:val="Footer"/>
        <w:widowControl/>
        <w:tabs>
          <w:tab w:val="clear" w:pos="4320"/>
          <w:tab w:val="clear" w:pos="8640"/>
        </w:tabs>
        <w:rPr/>
      </w:pPr>
      <w:r>
        <w:rPr/>
      </w:r>
    </w:p>
    <w:p>
      <w:pPr>
        <w:pStyle w:val="Normal"/>
        <w:widowControl/>
        <w:numPr>
          <w:ilvl w:val="3"/>
          <w:numId w:val="1"/>
        </w:numPr>
        <w:jc w:val="both"/>
        <w:rPr/>
      </w:pPr>
      <w:r>
        <w:rPr/>
        <w:t xml:space="preserve">Subscription fee for PG&amp;E-related trading services only shall not exceed $250.00 per month. </w:t>
      </w:r>
    </w:p>
    <w:p>
      <w:pPr>
        <w:pStyle w:val="Normal"/>
        <w:widowControl/>
        <w:ind w:start="360" w:end="0"/>
        <w:rPr/>
      </w:pPr>
      <w:r>
        <w:rPr/>
      </w:r>
    </w:p>
    <w:p>
      <w:pPr>
        <w:pStyle w:val="Normal"/>
        <w:widowControl/>
        <w:numPr>
          <w:ilvl w:val="1"/>
          <w:numId w:val="1"/>
        </w:numPr>
        <w:jc w:val="both"/>
        <w:rPr/>
      </w:pPr>
      <w:r>
        <w:rPr/>
        <w:t xml:space="preserve">The TPSP shall offer and charge for PG&amp;E-related trading services on a nondiscriminatory basis.  </w:t>
      </w:r>
    </w:p>
    <w:p>
      <w:pPr>
        <w:pStyle w:val="Normal"/>
        <w:widowControl/>
        <w:ind w:start="360" w:end="0"/>
        <w:jc w:val="both"/>
        <w:rPr/>
      </w:pPr>
      <w:r>
        <w:rPr/>
      </w:r>
    </w:p>
    <w:p>
      <w:pPr>
        <w:pStyle w:val="Normal"/>
        <w:widowControl/>
        <w:tabs>
          <w:tab w:val="clear" w:pos="720"/>
          <w:tab w:val="left" w:pos="360" w:leader="none"/>
        </w:tabs>
        <w:ind w:hanging="360" w:start="360" w:end="0"/>
        <w:jc w:val="both"/>
        <w:rPr/>
      </w:pPr>
      <w:r>
        <w:rPr/>
        <w:t>2)</w:t>
        <w:tab/>
        <w:t xml:space="preserve">PG&amp;E shall have no liability to any party regarding acts or omissions of the TPSP or the terms and conditions imposed by the TPSP. </w:t>
      </w:r>
    </w:p>
    <w:sectPr>
      <w:headerReference w:type="default" r:id="rId2"/>
      <w:type w:val="nextPage"/>
      <w:pgSz w:w="12240" w:h="15840"/>
      <w:pgMar w:left="1440" w:right="1440" w:gutter="0" w:header="72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5040" w:leader="none"/>
        <w:tab w:val="left" w:pos="5940" w:leader="none"/>
        <w:tab w:val="left" w:pos="7020" w:leader="none"/>
        <w:tab w:val="right" w:pos="9990" w:leader="none"/>
      </w:tabs>
      <w:rPr>
        <w:b/>
        <w:i/>
        <w:i/>
        <w:sz w:val="20"/>
      </w:rPr>
    </w:pPr>
    <w:r>
      <w:rPr/>
      <w:drawing>
        <wp:inline distT="0" distB="0" distL="0" distR="0">
          <wp:extent cx="445770" cy="51562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0" t="-9" r="-10" b="-9"/>
                  <a:stretch>
                    <a:fillRect/>
                  </a:stretch>
                </pic:blipFill>
                <pic:spPr bwMode="auto">
                  <a:xfrm>
                    <a:off x="0" y="0"/>
                    <a:ext cx="445770" cy="515620"/>
                  </a:xfrm>
                  <a:prstGeom prst="rect">
                    <a:avLst/>
                  </a:prstGeom>
                  <a:noFill/>
                </pic:spPr>
              </pic:pic>
            </a:graphicData>
          </a:graphic>
        </wp:inline>
      </w:drawing>
    </w:r>
    <w:r>
      <w:rPr>
        <w:rFonts w:eastAsia="Arial"/>
        <w:b/>
        <w:sz w:val="20"/>
      </w:rPr>
      <w:t xml:space="preserve">               </w:t>
    </w:r>
    <w:r>
      <w:rPr>
        <w:b/>
        <w:sz w:val="20"/>
      </w:rPr>
      <w:t>OII Settlement     Draft Tariff June 9, 2000</w:t>
      <w:tab/>
      <w:tab/>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b/>
      </w:rPr>
      <w:t xml:space="preserve"> of 2</w:t>
    </w:r>
  </w:p>
  <w:p>
    <w:pPr>
      <w:pStyle w:val="Normal"/>
      <w:widowControl/>
      <w:tabs>
        <w:tab w:val="clear" w:pos="720"/>
        <w:tab w:val="left" w:pos="5040" w:leader="none"/>
        <w:tab w:val="left" w:pos="5940" w:leader="none"/>
        <w:tab w:val="left" w:pos="7020" w:leader="none"/>
        <w:tab w:val="right" w:pos="10008" w:leader="none"/>
      </w:tabs>
      <w:spacing w:lineRule="atLeast" w:line="180"/>
      <w:ind w:start="864" w:end="0"/>
      <w:rPr/>
    </w:pPr>
    <w:r>
      <w:rPr>
        <w:b/>
        <w:sz w:val="20"/>
      </w:rPr>
      <w:tab/>
    </w:r>
    <w:r>
      <w:rPr>
        <w:sz w:val="20"/>
      </w:rPr>
      <w:tab/>
    </w:r>
    <w:r>
      <mc:AlternateContent>
        <mc:Choice Requires="wps">
          <w:drawing>
            <wp:anchor behindDoc="0" distT="0" distB="0" distL="114300" distR="114300" simplePos="0" locked="0" layoutInCell="0" allowOverlap="1" relativeHeight="7">
              <wp:simplePos x="0" y="0"/>
              <wp:positionH relativeFrom="page">
                <wp:posOffset>1471930</wp:posOffset>
              </wp:positionH>
              <wp:positionV relativeFrom="paragraph">
                <wp:posOffset>29210</wp:posOffset>
              </wp:positionV>
              <wp:extent cx="3783330" cy="481965"/>
              <wp:effectExtent l="0" t="0" r="0" b="0"/>
              <wp:wrapSquare wrapText="bothSides"/>
              <wp:docPr id="2" name="Frame1"/>
              <a:graphic xmlns:a="http://schemas.openxmlformats.org/drawingml/2006/main">
                <a:graphicData uri="http://schemas.microsoft.com/office/word/2010/wordprocessingShape">
                  <wps:wsp>
                    <wps:cNvSpPr txBox="1"/>
                    <wps:spPr>
                      <a:xfrm>
                        <a:off x="0" y="0"/>
                        <a:ext cx="3783330" cy="481965"/>
                      </a:xfrm>
                      <a:prstGeom prst="rect"/>
                      <a:solidFill>
                        <a:srgbClr val="FFFFFF">
                          <a:alpha val="0"/>
                        </a:srgbClr>
                      </a:solidFill>
                    </wps:spPr>
                    <wps:txbx>
                      <w:txbxContent>
                        <w:tbl>
                          <w:tblPr>
                            <w:tblW w:w="5958" w:type="dxa"/>
                            <w:jc w:val="start"/>
                            <w:tblInd w:w="108" w:type="dxa"/>
                            <w:tblLayout w:type="fixed"/>
                            <w:tblCellMar>
                              <w:top w:w="0" w:type="dxa"/>
                              <w:start w:w="108" w:type="dxa"/>
                              <w:bottom w:w="0" w:type="dxa"/>
                              <w:end w:w="108" w:type="dxa"/>
                            </w:tblCellMar>
                          </w:tblPr>
                          <w:tblGrid>
                            <w:gridCol w:w="5958"/>
                          </w:tblGrid>
                          <w:tr>
                            <w:trPr>
                              <w:trHeight w:val="600" w:hRule="atLeast"/>
                            </w:trPr>
                            <w:tc>
                              <w:tcPr>
                                <w:tcW w:w="5958" w:type="dxa"/>
                                <w:tcBorders>
                                  <w:top w:val="double" w:sz="6" w:space="0" w:color="000000"/>
                                  <w:start w:val="double" w:sz="6" w:space="0" w:color="000000"/>
                                  <w:bottom w:val="double" w:sz="6" w:space="0" w:color="000000"/>
                                  <w:end w:val="double" w:sz="6" w:space="0" w:color="000000"/>
                                </w:tcBorders>
                              </w:tcPr>
                              <w:p>
                                <w:pPr>
                                  <w:pStyle w:val="Header"/>
                                  <w:spacing w:lineRule="auto" w:line="240" w:before="40" w:after="80"/>
                                  <w:ind w:hanging="14" w:start="14" w:end="0"/>
                                  <w:jc w:val="center"/>
                                  <w:rPr/>
                                </w:pPr>
                                <w:r>
                                  <w:rPr>
                                    <w:sz w:val="16"/>
                                  </w:rPr>
                                  <w:t xml:space="preserve">Subject to Rule 51 of the CPUC Rules of Practice and Procedure, </w:t>
                                  <w:br/>
                                  <w:t xml:space="preserve">Rule 601 </w:t>
                                </w:r>
                                <w:r>
                                  <w:rPr>
                                    <w:sz w:val="16"/>
                                    <w:u w:val="single"/>
                                  </w:rPr>
                                  <w:t>et</w:t>
                                </w:r>
                                <w:r>
                                  <w:rPr>
                                    <w:sz w:val="16"/>
                                  </w:rPr>
                                  <w:t xml:space="preserve"> </w:t>
                                </w:r>
                                <w:r>
                                  <w:rPr>
                                    <w:sz w:val="16"/>
                                    <w:u w:val="single"/>
                                  </w:rPr>
                                  <w:t>seq</w:t>
                                </w:r>
                                <w:r>
                                  <w:rPr>
                                    <w:sz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97.9pt;height:37.95pt;mso-wrap-distance-left:9pt;mso-wrap-distance-right:9pt;mso-wrap-distance-top:0pt;mso-wrap-distance-bottom:0pt;margin-top:2.3pt;mso-position-vertical-relative:text;margin-left:115.9pt;mso-position-horizontal-relative:page">
              <v:fill opacity="0f"/>
              <v:textbox inset="0in,0in,0in,0in">
                <w:txbxContent>
                  <w:tbl>
                    <w:tblPr>
                      <w:tblW w:w="5958" w:type="dxa"/>
                      <w:jc w:val="start"/>
                      <w:tblInd w:w="108" w:type="dxa"/>
                      <w:tblLayout w:type="fixed"/>
                      <w:tblCellMar>
                        <w:top w:w="0" w:type="dxa"/>
                        <w:start w:w="108" w:type="dxa"/>
                        <w:bottom w:w="0" w:type="dxa"/>
                        <w:end w:w="108" w:type="dxa"/>
                      </w:tblCellMar>
                    </w:tblPr>
                    <w:tblGrid>
                      <w:gridCol w:w="5958"/>
                    </w:tblGrid>
                    <w:tr>
                      <w:trPr>
                        <w:trHeight w:val="600" w:hRule="atLeast"/>
                      </w:trPr>
                      <w:tc>
                        <w:tcPr>
                          <w:tcW w:w="5958" w:type="dxa"/>
                          <w:tcBorders>
                            <w:top w:val="double" w:sz="6" w:space="0" w:color="000000"/>
                            <w:start w:val="double" w:sz="6" w:space="0" w:color="000000"/>
                            <w:bottom w:val="double" w:sz="6" w:space="0" w:color="000000"/>
                            <w:end w:val="double" w:sz="6" w:space="0" w:color="000000"/>
                          </w:tcBorders>
                        </w:tcPr>
                        <w:p>
                          <w:pPr>
                            <w:pStyle w:val="Header"/>
                            <w:spacing w:lineRule="auto" w:line="240" w:before="40" w:after="80"/>
                            <w:ind w:hanging="14" w:start="14" w:end="0"/>
                            <w:jc w:val="center"/>
                            <w:rPr/>
                          </w:pPr>
                          <w:r>
                            <w:rPr>
                              <w:sz w:val="16"/>
                            </w:rPr>
                            <w:t xml:space="preserve">Subject to Rule 51 of the CPUC Rules of Practice and Procedure, </w:t>
                            <w:br/>
                            <w:t xml:space="preserve">Rule 601 </w:t>
                          </w:r>
                          <w:r>
                            <w:rPr>
                              <w:sz w:val="16"/>
                              <w:u w:val="single"/>
                            </w:rPr>
                            <w:t>et</w:t>
                          </w:r>
                          <w:r>
                            <w:rPr>
                              <w:sz w:val="16"/>
                            </w:rPr>
                            <w:t xml:space="preserve"> </w:t>
                          </w:r>
                          <w:r>
                            <w:rPr>
                              <w:sz w:val="16"/>
                              <w:u w:val="single"/>
                            </w:rPr>
                            <w:t>seq</w:t>
                          </w:r>
                          <w:r>
                            <w:rPr>
                              <w:sz w:val="16"/>
                            </w:rPr>
                            <w:t>. of the FERC Rules of Practice, Rule 408 of the Federal</w:t>
                            <w:br/>
                            <w:t>Rules of Evidence, and Section 1152 of the California Evidence Code</w:t>
                          </w:r>
                        </w:p>
                      </w:tc>
                    </w:tr>
                  </w:tbl>
                </w:txbxContent>
              </v:textbox>
              <w10:wrap type="square"/>
            </v:rect>
          </w:pict>
        </mc:Fallback>
      </mc:AlternateContent>
    </w:r>
  </w:p>
  <w:p>
    <w:pPr>
      <w:pStyle w:val="Header"/>
      <w:rPr>
        <w:sz w:val="18"/>
      </w:rPr>
    </w:pPr>
    <w:r>
      <w:rPr>
        <w:sz w:val="18"/>
      </w:rPr>
      <w:tab/>
      <w:tab/>
    </w:r>
  </w:p>
  <w:p>
    <w:pPr>
      <w:pStyle w:val="Header"/>
      <w:rPr>
        <w:sz w:val="18"/>
      </w:rPr>
    </w:pPr>
    <w:r>
      <w:rPr>
        <w:sz w:val="18"/>
      </w:rPr>
    </w:r>
  </w:p>
  <w:p>
    <w:pPr>
      <w:pStyle w:val="Header"/>
      <w:rPr>
        <w:sz w:val="18"/>
      </w:rPr>
    </w:pPr>
    <w:r>
      <w:rPr>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eastAsia="zh-CN" w:bidi="hi-IN"/>
    </w:rPr>
  </w:style>
  <w:style w:type="character" w:styleId="WW8Num1z0">
    <w:name w:val="WW8Num1z0"/>
    <w:qFormat/>
    <w:rPr/>
  </w:style>
  <w:style w:type="character" w:styleId="WW8Num3z0">
    <w:name w:val="WW8Num3z0"/>
    <w:qFormat/>
    <w:rPr>
      <w:rFonts w:ascii="Arial" w:hAnsi="Arial" w:cs="Arial"/>
      <w:b w:val="false"/>
      <w:i w:val="false"/>
      <w:sz w:val="24"/>
      <w:u w:val="none"/>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ateBody">
    <w:name w:val="Rate Body"/>
    <w:basedOn w:val="Normal"/>
    <w:qFormat/>
    <w:pPr>
      <w:suppressAutoHyphens w:val="true"/>
      <w:spacing w:lineRule="exact" w:line="200" w:before="0" w:after="200"/>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uppressAutoHyphens w:val="true"/>
      <w:spacing w:lineRule="atLeast" w:line="240"/>
    </w:pPr>
    <w:rPr>
      <w:sz w:val="22"/>
    </w:rPr>
  </w:style>
  <w:style w:type="paragraph" w:styleId="Footer">
    <w:name w:val="footer"/>
    <w:basedOn w:val="Normal"/>
    <w:pPr>
      <w:tabs>
        <w:tab w:val="clear" w:pos="720"/>
        <w:tab w:val="center" w:pos="4320" w:leader="none"/>
        <w:tab w:val="right" w:pos="8640" w:leader="none"/>
      </w:tabs>
    </w:pPr>
    <w:rPr/>
  </w:style>
  <w:style w:type="paragraph" w:styleId="RuleBody">
    <w:name w:val="Rule Body"/>
    <w:basedOn w:val="Normal"/>
    <w:qFormat/>
    <w:pPr>
      <w:suppressAutoHyphens w:val="true"/>
      <w:spacing w:lineRule="exact" w:line="240" w:before="0" w:after="240"/>
    </w:pPr>
    <w:rPr>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2000-06-07T22:25:00Z</dcterms:created>
  <dc:creator>A Valued Microsoft Customer</dc:creator>
  <dc:description/>
  <dc:language>en-CA</dc:language>
  <cp:lastModifiedBy>Salle Yoo</cp:lastModifiedBy>
  <cp:lastPrinted>2000-06-12T11:53:00Z</cp:lastPrinted>
  <dcterms:modified xsi:type="dcterms:W3CDTF">2000-06-12T18:11:00Z</dcterms:modified>
  <cp:revision>17</cp:revision>
  <dc:subject/>
  <dc:title>Language to add to Gas Rule 21</dc:title>
</cp:coreProperties>
</file>