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spacing w:lineRule="auto" w:line="240" w:before="0" w:after="0"/>
        <w:jc w:val="center"/>
        <w:rPr>
          <w:b/>
        </w:rPr>
      </w:pPr>
      <w:r>
        <w:rPr>
          <w:b/>
        </w:rPr>
        <w:t>BEFORE THE</w:t>
      </w:r>
    </w:p>
    <w:p>
      <w:pPr>
        <w:pStyle w:val="Normal"/>
        <w:spacing w:lineRule="auto" w:line="240" w:before="0" w:after="0"/>
        <w:jc w:val="center"/>
        <w:rPr>
          <w:b/>
        </w:rPr>
      </w:pPr>
      <w:r>
        <w:rPr>
          <w:b/>
        </w:rPr>
        <w:t>FEDERAL ENERGY REGULATORY COMMISSION</w:t>
      </w:r>
    </w:p>
    <w:p>
      <w:pPr>
        <w:pStyle w:val="Header"/>
        <w:tabs>
          <w:tab w:val="clear" w:pos="4320"/>
          <w:tab w:val="clear" w:pos="8640"/>
        </w:tabs>
        <w:spacing w:lineRule="auto" w:line="240" w:before="0" w:after="0"/>
        <w:rPr>
          <w:b/>
        </w:rPr>
      </w:pPr>
      <w:r>
        <w:rPr>
          <w:b/>
        </w:rPr>
      </w:r>
    </w:p>
    <w:p>
      <w:pPr>
        <w:pStyle w:val="Normal"/>
        <w:spacing w:lineRule="auto" w:line="240" w:before="0" w:after="0"/>
        <w:rPr/>
      </w:pPr>
      <w:r>
        <w:rPr/>
      </w:r>
    </w:p>
    <w:p>
      <w:pPr>
        <w:pStyle w:val="Normal"/>
        <w:spacing w:lineRule="auto" w:line="240" w:before="0" w:after="0"/>
        <w:rPr>
          <w:b/>
        </w:rPr>
      </w:pPr>
      <w:r>
        <w:rPr>
          <w:b/>
        </w:rPr>
        <w:tab/>
        <w:t>Electricity Market Design</w:t>
      </w:r>
    </w:p>
    <w:p>
      <w:pPr>
        <w:pStyle w:val="Normal"/>
        <w:spacing w:lineRule="auto" w:line="240" w:before="0" w:after="0"/>
        <w:ind w:firstLine="720" w:end="0"/>
        <w:rPr>
          <w:b/>
        </w:rPr>
      </w:pPr>
      <w:r>
        <w:rPr>
          <w:b/>
        </w:rPr>
        <w:t>And Structure</w:t>
        <w:tab/>
        <w:tab/>
        <w:tab/>
        <w:t xml:space="preserve">            </w:t>
        <w:tab/>
        <w:t>Docket No. RM01-12-000</w:t>
      </w:r>
    </w:p>
    <w:p>
      <w:pPr>
        <w:pStyle w:val="Normal"/>
        <w:spacing w:lineRule="auto" w:line="240" w:before="0" w:after="0"/>
        <w:ind w:firstLine="720" w:start="2880" w:end="0"/>
        <w:rPr>
          <w:b/>
        </w:rPr>
      </w:pPr>
      <w:r>
        <w:rPr>
          <w:b/>
        </w:rPr>
        <w:tab/>
      </w:r>
    </w:p>
    <w:p>
      <w:pPr>
        <w:pStyle w:val="Normal"/>
        <w:spacing w:lineRule="auto" w:line="240" w:before="0" w:after="0"/>
        <w:rPr>
          <w:b/>
        </w:rPr>
      </w:pPr>
      <w:r>
        <w:rPr>
          <w:b/>
        </w:rPr>
      </w:r>
    </w:p>
    <w:p>
      <w:pPr>
        <w:pStyle w:val="Normal"/>
        <w:spacing w:lineRule="auto" w:line="240" w:before="0" w:after="0"/>
        <w:rPr>
          <w:b/>
        </w:rPr>
      </w:pPr>
      <w:r>
        <w:rPr>
          <w:b/>
        </w:rPr>
      </w:r>
    </w:p>
    <w:p>
      <w:pPr>
        <w:pStyle w:val="Normal"/>
        <w:spacing w:before="0" w:after="120"/>
        <w:jc w:val="center"/>
        <w:rPr>
          <w:b/>
          <w:sz w:val="28"/>
        </w:rPr>
      </w:pPr>
      <w:r>
        <w:rPr>
          <w:b/>
          <w:sz w:val="28"/>
        </w:rPr>
        <w:t>AFFIDAVIT  OF  LARRY  E.  RUFF</w:t>
      </w:r>
    </w:p>
    <w:p>
      <w:pPr>
        <w:pStyle w:val="Normal"/>
        <w:spacing w:lineRule="auto" w:line="240" w:before="0" w:after="0"/>
        <w:jc w:val="center"/>
        <w:rPr/>
      </w:pPr>
      <w:r>
        <w:rPr/>
        <w:t>Contents</w:t>
      </w:r>
    </w:p>
    <w:sdt>
      <w:sdtPr>
        <w:docPartObj>
          <w:docPartGallery w:val="Table of Contents"/>
          <w:docPartUnique w:val="true"/>
        </w:docPartObj>
      </w:sdtPr>
      <w:sdtContent>
        <w:p>
          <w:pPr>
            <w:pStyle w:val="TOC1"/>
            <w:tabs>
              <w:tab w:val="left" w:pos="360" w:leader="none"/>
              <w:tab w:val="left" w:pos="576" w:leader="none"/>
              <w:tab w:val="right" w:pos="9000" w:leader="dot"/>
            </w:tabs>
            <w:rPr/>
          </w:pPr>
          <w:r>
            <w:fldChar w:fldCharType="begin"/>
          </w:r>
          <w:r>
            <w:rPr>
              <w:rStyle w:val="IndexLink"/>
            </w:rPr>
            <w:instrText xml:space="preserve"> TOC \o "1-3" \h \z </w:instrText>
          </w:r>
          <w:r>
            <w:rPr>
              <w:rStyle w:val="IndexLink"/>
            </w:rPr>
            <w:fldChar w:fldCharType="separate"/>
          </w:r>
          <w:hyperlink w:anchor="__RefHeading___Toc529045731">
            <w:r>
              <w:rPr>
                <w:rStyle w:val="IndexLink"/>
              </w:rPr>
              <w:t>1.</w:t>
              <w:tab/>
              <w:t>INTRODUCTION</w:t>
              <w:tab/>
              <w:t>1</w:t>
            </w:r>
          </w:hyperlink>
        </w:p>
        <w:p>
          <w:pPr>
            <w:pStyle w:val="TOC2"/>
            <w:tabs>
              <w:tab w:val="left" w:pos="720" w:leader="none"/>
              <w:tab w:val="left" w:pos="960" w:leader="none"/>
              <w:tab w:val="right" w:pos="8990" w:leader="dot"/>
            </w:tabs>
            <w:rPr/>
          </w:pPr>
          <w:hyperlink w:anchor="__RefHeading___Toc529045732">
            <w:r>
              <w:rPr>
                <w:rStyle w:val="IndexLink"/>
              </w:rPr>
              <w:t>1.1</w:t>
              <w:tab/>
              <w:t>Background</w:t>
              <w:tab/>
              <w:t>1</w:t>
            </w:r>
          </w:hyperlink>
        </w:p>
        <w:p>
          <w:pPr>
            <w:pStyle w:val="TOC2"/>
            <w:tabs>
              <w:tab w:val="left" w:pos="720" w:leader="none"/>
              <w:tab w:val="left" w:pos="960" w:leader="none"/>
              <w:tab w:val="right" w:pos="8990" w:leader="dot"/>
            </w:tabs>
            <w:rPr/>
          </w:pPr>
          <w:hyperlink w:anchor="__RefHeading___Toc529045733">
            <w:r>
              <w:rPr>
                <w:rStyle w:val="IndexLink"/>
              </w:rPr>
              <w:t>1.2</w:t>
              <w:tab/>
              <w:t>Purpose of This Affidavit</w:t>
              <w:tab/>
              <w:t>1</w:t>
            </w:r>
          </w:hyperlink>
        </w:p>
        <w:p>
          <w:pPr>
            <w:pStyle w:val="TOC2"/>
            <w:tabs>
              <w:tab w:val="left" w:pos="720" w:leader="none"/>
              <w:tab w:val="left" w:pos="960" w:leader="none"/>
              <w:tab w:val="right" w:pos="8990" w:leader="dot"/>
            </w:tabs>
            <w:rPr/>
          </w:pPr>
          <w:hyperlink w:anchor="__RefHeading___Toc529045734">
            <w:r>
              <w:rPr>
                <w:rStyle w:val="IndexLink"/>
              </w:rPr>
              <w:t>1.3</w:t>
              <w:tab/>
              <w:t>Summary  of  Approach  and  Conclusions</w:t>
              <w:tab/>
              <w:t>2</w:t>
            </w:r>
          </w:hyperlink>
        </w:p>
        <w:p>
          <w:pPr>
            <w:pStyle w:val="TOC2"/>
            <w:tabs>
              <w:tab w:val="left" w:pos="720" w:leader="none"/>
              <w:tab w:val="left" w:pos="960" w:leader="none"/>
              <w:tab w:val="right" w:pos="8990" w:leader="dot"/>
            </w:tabs>
            <w:rPr/>
          </w:pPr>
          <w:hyperlink w:anchor="__RefHeading___Toc529045735">
            <w:r>
              <w:rPr>
                <w:rStyle w:val="IndexLink"/>
              </w:rPr>
              <w:t>1.4</w:t>
              <w:tab/>
              <w:t>Outline  of  This  Affidavit</w:t>
              <w:tab/>
              <w:t>4</w:t>
            </w:r>
          </w:hyperlink>
        </w:p>
        <w:p>
          <w:pPr>
            <w:pStyle w:val="TOC1"/>
            <w:tabs>
              <w:tab w:val="left" w:pos="360" w:leader="none"/>
              <w:tab w:val="left" w:pos="576" w:leader="none"/>
              <w:tab w:val="right" w:pos="9000" w:leader="dot"/>
            </w:tabs>
            <w:rPr/>
          </w:pPr>
          <w:hyperlink w:anchor="__RefHeading___Toc529045736">
            <w:r>
              <w:rPr>
                <w:rStyle w:val="IndexLink"/>
              </w:rPr>
              <w:t>2.</w:t>
              <w:tab/>
              <w:t>THE  OBJECTIVES  OF  RTOs</w:t>
              <w:tab/>
              <w:t>5</w:t>
            </w:r>
          </w:hyperlink>
        </w:p>
        <w:p>
          <w:pPr>
            <w:pStyle w:val="TOC2"/>
            <w:tabs>
              <w:tab w:val="left" w:pos="720" w:leader="none"/>
              <w:tab w:val="left" w:pos="960" w:leader="none"/>
              <w:tab w:val="right" w:pos="8990" w:leader="dot"/>
            </w:tabs>
            <w:rPr/>
          </w:pPr>
          <w:hyperlink w:anchor="__RefHeading___Toc529045737">
            <w:r>
              <w:rPr>
                <w:rStyle w:val="IndexLink"/>
              </w:rPr>
              <w:t>2.1</w:t>
              <w:tab/>
              <w:t>The  Fundamental  Objective  of  RTO  Policy</w:t>
              <w:tab/>
              <w:t>5</w:t>
            </w:r>
          </w:hyperlink>
        </w:p>
        <w:p>
          <w:pPr>
            <w:pStyle w:val="TOC2"/>
            <w:tabs>
              <w:tab w:val="left" w:pos="720" w:leader="none"/>
              <w:tab w:val="left" w:pos="960" w:leader="none"/>
              <w:tab w:val="right" w:pos="8990" w:leader="dot"/>
            </w:tabs>
            <w:rPr/>
          </w:pPr>
          <w:hyperlink w:anchor="__RefHeading___Toc529045738">
            <w:r>
              <w:rPr>
                <w:rStyle w:val="IndexLink"/>
              </w:rPr>
              <w:t>2.2</w:t>
              <w:tab/>
              <w:t>Sub-Objectives  of  RTOs</w:t>
              <w:tab/>
              <w:t>5</w:t>
            </w:r>
          </w:hyperlink>
        </w:p>
        <w:p>
          <w:pPr>
            <w:pStyle w:val="TOC2"/>
            <w:tabs>
              <w:tab w:val="left" w:pos="720" w:leader="none"/>
              <w:tab w:val="left" w:pos="960" w:leader="none"/>
              <w:tab w:val="right" w:pos="8990" w:leader="dot"/>
            </w:tabs>
            <w:rPr/>
          </w:pPr>
          <w:hyperlink w:anchor="__RefHeading___Toc529045739">
            <w:r>
              <w:rPr>
                <w:rStyle w:val="IndexLink"/>
              </w:rPr>
              <w:t>2.3</w:t>
              <w:tab/>
              <w:t>RTO  Objectives  vs.  RTO  Functions</w:t>
              <w:tab/>
              <w:t>6</w:t>
            </w:r>
          </w:hyperlink>
        </w:p>
        <w:p>
          <w:pPr>
            <w:pStyle w:val="TOC2"/>
            <w:tabs>
              <w:tab w:val="left" w:pos="720" w:leader="none"/>
              <w:tab w:val="left" w:pos="960" w:leader="none"/>
              <w:tab w:val="right" w:pos="8990" w:leader="dot"/>
            </w:tabs>
            <w:rPr/>
          </w:pPr>
          <w:hyperlink w:anchor="__RefHeading___Toc529045740">
            <w:r>
              <w:rPr>
                <w:rStyle w:val="IndexLink"/>
              </w:rPr>
              <w:t>2.4</w:t>
              <w:tab/>
              <w:t>Objectives  and  Physical  Reality</w:t>
              <w:tab/>
              <w:t>7</w:t>
            </w:r>
          </w:hyperlink>
        </w:p>
        <w:p>
          <w:pPr>
            <w:pStyle w:val="TOC1"/>
            <w:tabs>
              <w:tab w:val="left" w:pos="360" w:leader="none"/>
              <w:tab w:val="left" w:pos="576" w:leader="none"/>
              <w:tab w:val="right" w:pos="9000" w:leader="dot"/>
            </w:tabs>
            <w:rPr/>
          </w:pPr>
          <w:hyperlink w:anchor="__RefHeading___Toc529045741">
            <w:r>
              <w:rPr>
                <w:rStyle w:val="IndexLink"/>
              </w:rPr>
              <w:t>3.</w:t>
              <w:tab/>
              <w:t>THE  IMPORTANCE  OF  PHYSICAL  MARKETS</w:t>
              <w:tab/>
              <w:t>8</w:t>
            </w:r>
          </w:hyperlink>
        </w:p>
        <w:p>
          <w:pPr>
            <w:pStyle w:val="TOC2"/>
            <w:tabs>
              <w:tab w:val="left" w:pos="720" w:leader="none"/>
              <w:tab w:val="left" w:pos="960" w:leader="none"/>
              <w:tab w:val="right" w:pos="8990" w:leader="dot"/>
            </w:tabs>
            <w:rPr/>
          </w:pPr>
          <w:hyperlink w:anchor="__RefHeading___Toc529045742">
            <w:r>
              <w:rPr>
                <w:rStyle w:val="IndexLink"/>
              </w:rPr>
              <w:t>3.1</w:t>
              <w:tab/>
              <w:t>Physical  Markets  and  Physical  Delivery</w:t>
              <w:tab/>
              <w:t>8</w:t>
            </w:r>
          </w:hyperlink>
        </w:p>
        <w:p>
          <w:pPr>
            <w:pStyle w:val="TOC2"/>
            <w:tabs>
              <w:tab w:val="left" w:pos="720" w:leader="none"/>
              <w:tab w:val="left" w:pos="960" w:leader="none"/>
              <w:tab w:val="right" w:pos="8990" w:leader="dot"/>
            </w:tabs>
            <w:rPr/>
          </w:pPr>
          <w:hyperlink w:anchor="__RefHeading___Toc529045743">
            <w:r>
              <w:rPr>
                <w:rStyle w:val="IndexLink"/>
              </w:rPr>
              <w:t>3.2</w:t>
              <w:tab/>
              <w:t>Complexity  and  Risks  in  Physical  Markets</w:t>
              <w:tab/>
              <w:t>10</w:t>
            </w:r>
          </w:hyperlink>
        </w:p>
        <w:p>
          <w:pPr>
            <w:pStyle w:val="TOC2"/>
            <w:tabs>
              <w:tab w:val="left" w:pos="720" w:leader="none"/>
              <w:tab w:val="left" w:pos="960" w:leader="none"/>
              <w:tab w:val="right" w:pos="8990" w:leader="dot"/>
            </w:tabs>
            <w:rPr/>
          </w:pPr>
          <w:hyperlink w:anchor="__RefHeading___Toc529045744">
            <w:r>
              <w:rPr>
                <w:rStyle w:val="IndexLink"/>
              </w:rPr>
              <w:t>3.3</w:t>
              <w:tab/>
              <w:t>Physical  Markets  and  Forward  Contracting</w:t>
              <w:tab/>
              <w:t>11</w:t>
            </w:r>
          </w:hyperlink>
        </w:p>
        <w:p>
          <w:pPr>
            <w:pStyle w:val="TOC1"/>
            <w:tabs>
              <w:tab w:val="left" w:pos="360" w:leader="none"/>
              <w:tab w:val="left" w:pos="576" w:leader="none"/>
              <w:tab w:val="right" w:pos="9000" w:leader="dot"/>
            </w:tabs>
            <w:rPr/>
          </w:pPr>
          <w:hyperlink w:anchor="__RefHeading___Toc529045745">
            <w:r>
              <w:rPr>
                <w:rStyle w:val="IndexLink"/>
              </w:rPr>
              <w:t>4.</w:t>
              <w:tab/>
              <w:t>THE  RTO-PROVIDED  MARKET  INFRASTRUCTURE</w:t>
              <w:tab/>
              <w:t>12</w:t>
            </w:r>
          </w:hyperlink>
        </w:p>
        <w:p>
          <w:pPr>
            <w:pStyle w:val="TOC2"/>
            <w:tabs>
              <w:tab w:val="left" w:pos="720" w:leader="none"/>
              <w:tab w:val="left" w:pos="960" w:leader="none"/>
              <w:tab w:val="right" w:pos="8990" w:leader="dot"/>
            </w:tabs>
            <w:rPr/>
          </w:pPr>
          <w:hyperlink w:anchor="__RefHeading___Toc529045746">
            <w:r>
              <w:rPr>
                <w:rStyle w:val="IndexLink"/>
              </w:rPr>
              <w:t>4.1</w:t>
              <w:tab/>
              <w:t>The  Commission’s  Requirements  for  RTO  Markets</w:t>
              <w:tab/>
              <w:t>13</w:t>
            </w:r>
          </w:hyperlink>
        </w:p>
        <w:p>
          <w:pPr>
            <w:pStyle w:val="TOC2"/>
            <w:tabs>
              <w:tab w:val="left" w:pos="720" w:leader="none"/>
              <w:tab w:val="left" w:pos="960" w:leader="none"/>
              <w:tab w:val="right" w:pos="8990" w:leader="dot"/>
            </w:tabs>
            <w:rPr/>
          </w:pPr>
          <w:hyperlink w:anchor="__RefHeading___Toc529045747">
            <w:r>
              <w:rPr>
                <w:rStyle w:val="IndexLink"/>
              </w:rPr>
              <w:t>4.2</w:t>
              <w:tab/>
              <w:t>The  Need  for  LMP-Based  Markets</w:t>
              <w:tab/>
              <w:t>14</w:t>
            </w:r>
          </w:hyperlink>
        </w:p>
        <w:p>
          <w:pPr>
            <w:pStyle w:val="TOC2"/>
            <w:tabs>
              <w:tab w:val="left" w:pos="720" w:leader="none"/>
              <w:tab w:val="left" w:pos="960" w:leader="none"/>
              <w:tab w:val="right" w:pos="8990" w:leader="dot"/>
            </w:tabs>
            <w:rPr/>
          </w:pPr>
          <w:hyperlink w:anchor="__RefHeading___Toc529045748">
            <w:r>
              <w:rPr>
                <w:rStyle w:val="IndexLink"/>
              </w:rPr>
              <w:t>4.3</w:t>
              <w:tab/>
              <w:t>The  Operation  of  LMP-Based  Markets</w:t>
              <w:tab/>
              <w:t>16</w:t>
            </w:r>
          </w:hyperlink>
        </w:p>
        <w:p>
          <w:pPr>
            <w:pStyle w:val="TOC2"/>
            <w:tabs>
              <w:tab w:val="left" w:pos="720" w:leader="none"/>
              <w:tab w:val="left" w:pos="960" w:leader="none"/>
              <w:tab w:val="right" w:pos="8990" w:leader="dot"/>
            </w:tabs>
            <w:rPr/>
          </w:pPr>
          <w:hyperlink w:anchor="__RefHeading___Toc529045749">
            <w:r>
              <w:rPr>
                <w:rStyle w:val="IndexLink"/>
              </w:rPr>
              <w:t>4.4</w:t>
              <w:tab/>
              <w:t>RTO-Operated  Hour-Ahead  and  Day-Ahead  Markets</w:t>
              <w:tab/>
              <w:t>18</w:t>
            </w:r>
          </w:hyperlink>
        </w:p>
        <w:p>
          <w:pPr>
            <w:pStyle w:val="TOC2"/>
            <w:tabs>
              <w:tab w:val="left" w:pos="720" w:leader="none"/>
              <w:tab w:val="left" w:pos="960" w:leader="none"/>
              <w:tab w:val="right" w:pos="8990" w:leader="dot"/>
            </w:tabs>
            <w:rPr/>
          </w:pPr>
          <w:hyperlink w:anchor="__RefHeading___Toc529045750">
            <w:r>
              <w:rPr>
                <w:rStyle w:val="IndexLink"/>
              </w:rPr>
              <w:t>4.5</w:t>
              <w:tab/>
              <w:t>Capacity  Obligations,  Payments  and  Markets</w:t>
              <w:tab/>
              <w:t>20</w:t>
            </w:r>
          </w:hyperlink>
        </w:p>
        <w:p>
          <w:pPr>
            <w:pStyle w:val="TOC1"/>
            <w:tabs>
              <w:tab w:val="left" w:pos="360" w:leader="none"/>
              <w:tab w:val="left" w:pos="576" w:leader="none"/>
              <w:tab w:val="right" w:pos="9000" w:leader="dot"/>
            </w:tabs>
            <w:rPr/>
          </w:pPr>
          <w:hyperlink w:anchor="__RefHeading___Toc529045751">
            <w:r>
              <w:rPr>
                <w:rStyle w:val="IndexLink"/>
              </w:rPr>
              <w:t>5.</w:t>
              <w:tab/>
              <w:t>THE  STRUCTURE  OF  RTOs</w:t>
              <w:tab/>
              <w:t>21</w:t>
            </w:r>
          </w:hyperlink>
        </w:p>
        <w:p>
          <w:pPr>
            <w:pStyle w:val="TOC2"/>
            <w:tabs>
              <w:tab w:val="left" w:pos="720" w:leader="none"/>
              <w:tab w:val="left" w:pos="960" w:leader="none"/>
              <w:tab w:val="right" w:pos="8990" w:leader="dot"/>
            </w:tabs>
            <w:rPr/>
          </w:pPr>
          <w:hyperlink w:anchor="__RefHeading___Toc529045752">
            <w:r>
              <w:rPr>
                <w:rStyle w:val="IndexLink"/>
              </w:rPr>
              <w:t>5.1</w:t>
              <w:tab/>
              <w:t>The  Need  for  Independence</w:t>
              <w:tab/>
              <w:t>21</w:t>
            </w:r>
          </w:hyperlink>
        </w:p>
        <w:p>
          <w:pPr>
            <w:pStyle w:val="TOC2"/>
            <w:tabs>
              <w:tab w:val="left" w:pos="720" w:leader="none"/>
              <w:tab w:val="left" w:pos="960" w:leader="none"/>
              <w:tab w:val="right" w:pos="8990" w:leader="dot"/>
            </w:tabs>
            <w:rPr/>
          </w:pPr>
          <w:hyperlink w:anchor="__RefHeading___Toc529045753">
            <w:r>
              <w:rPr>
                <w:rStyle w:val="IndexLink"/>
              </w:rPr>
              <w:t>5.2</w:t>
              <w:tab/>
              <w:t>Regulating  Transcos</w:t>
              <w:tab/>
              <w:t>22</w:t>
            </w:r>
          </w:hyperlink>
        </w:p>
        <w:p>
          <w:pPr>
            <w:pStyle w:val="TOC2"/>
            <w:tabs>
              <w:tab w:val="left" w:pos="720" w:leader="none"/>
              <w:tab w:val="left" w:pos="960" w:leader="none"/>
              <w:tab w:val="right" w:pos="8990" w:leader="dot"/>
            </w:tabs>
            <w:rPr/>
          </w:pPr>
          <w:hyperlink w:anchor="__RefHeading___Toc529045754">
            <w:r>
              <w:rPr>
                <w:rStyle w:val="IndexLink"/>
              </w:rPr>
              <w:t>5.3</w:t>
              <w:tab/>
              <w:t>Separating  the  IS/MO  from  Gridco(s)</w:t>
              <w:tab/>
              <w:t>25</w:t>
            </w:r>
          </w:hyperlink>
        </w:p>
        <w:p>
          <w:pPr>
            <w:pStyle w:val="TOC1"/>
            <w:tabs>
              <w:tab w:val="left" w:pos="360" w:leader="none"/>
              <w:tab w:val="left" w:pos="576" w:leader="none"/>
              <w:tab w:val="right" w:pos="9000" w:leader="dot"/>
            </w:tabs>
            <w:rPr/>
          </w:pPr>
          <w:hyperlink w:anchor="__RefHeading___Toc529045755">
            <w:r>
              <w:rPr>
                <w:rStyle w:val="IndexLink"/>
              </w:rPr>
              <w:t>6.</w:t>
              <w:tab/>
              <w:t>CONCLUSIONS</w:t>
              <w:tab/>
              <w:t>25</w:t>
            </w:r>
          </w:hyperlink>
          <w:r>
            <w:rPr>
              <w:rStyle w:val="IndexLink"/>
            </w:rPr>
            <w:fldChar w:fldCharType="end"/>
          </w:r>
        </w:p>
      </w:sdtContent>
    </w:sdt>
    <w:p>
      <w:pPr>
        <w:sectPr>
          <w:type w:val="nextPage"/>
          <w:pgSz w:w="12240" w:h="15840"/>
          <w:pgMar w:left="1800" w:right="1440" w:gutter="0" w:header="0" w:top="1440" w:footer="0" w:bottom="720"/>
          <w:pgNumType w:fmt="decimal"/>
          <w:formProt w:val="false"/>
          <w:textDirection w:val="lrTb"/>
          <w:docGrid w:type="default" w:linePitch="360" w:charSpace="0"/>
        </w:sectPr>
        <w:pStyle w:val="TOC1"/>
        <w:spacing w:before="120" w:after="60"/>
        <w:rPr/>
      </w:pPr>
      <w:r>
        <w:rPr/>
      </w:r>
    </w:p>
    <w:p>
      <w:pPr>
        <w:pStyle w:val="Normal"/>
        <w:spacing w:lineRule="auto" w:line="240" w:before="0" w:after="0"/>
        <w:jc w:val="center"/>
        <w:rPr>
          <w:b/>
        </w:rPr>
      </w:pPr>
      <w:r>
        <w:rPr>
          <w:b/>
        </w:rPr>
        <w:t>UNITED STATES OF AMERICA</w:t>
      </w:r>
    </w:p>
    <w:p>
      <w:pPr>
        <w:pStyle w:val="Normal"/>
        <w:spacing w:lineRule="auto" w:line="240" w:before="0" w:after="0"/>
        <w:jc w:val="center"/>
        <w:rPr>
          <w:b/>
        </w:rPr>
      </w:pPr>
      <w:r>
        <w:rPr>
          <w:b/>
        </w:rPr>
        <w:t>BEFORE THE</w:t>
      </w:r>
    </w:p>
    <w:p>
      <w:pPr>
        <w:pStyle w:val="Normal"/>
        <w:spacing w:lineRule="auto" w:line="240" w:before="0" w:after="0"/>
        <w:jc w:val="center"/>
        <w:rPr>
          <w:b/>
        </w:rPr>
      </w:pPr>
      <w:r>
        <w:rPr>
          <w:b/>
        </w:rPr>
        <w:t>FEDERAL ENERGY REGULATORY COMMISSION</w:t>
      </w:r>
    </w:p>
    <w:p>
      <w:pPr>
        <w:pStyle w:val="Normal"/>
        <w:spacing w:lineRule="auto" w:line="240" w:before="0" w:after="0"/>
        <w:rPr>
          <w:b/>
        </w:rPr>
      </w:pPr>
      <w:r>
        <w:rPr>
          <w:b/>
        </w:rPr>
      </w:r>
    </w:p>
    <w:p>
      <w:pPr>
        <w:pStyle w:val="Normal"/>
        <w:spacing w:lineRule="auto" w:line="240" w:before="0" w:after="0"/>
        <w:rPr/>
      </w:pPr>
      <w:r>
        <w:rPr/>
      </w:r>
    </w:p>
    <w:p>
      <w:pPr>
        <w:pStyle w:val="Normal"/>
        <w:spacing w:lineRule="auto" w:line="240" w:before="0" w:after="0"/>
        <w:rPr>
          <w:b/>
        </w:rPr>
      </w:pPr>
      <w:r>
        <w:rPr>
          <w:b/>
        </w:rPr>
        <w:t>Electricity Market Design</w:t>
      </w:r>
    </w:p>
    <w:p>
      <w:pPr>
        <w:pStyle w:val="Normal"/>
        <w:spacing w:lineRule="auto" w:line="240" w:before="0" w:after="0"/>
        <w:rPr>
          <w:b/>
        </w:rPr>
      </w:pPr>
      <w:r>
        <w:rPr>
          <w:b/>
        </w:rPr>
        <w:t>And Structure</w:t>
        <w:tab/>
        <w:tab/>
        <w:tab/>
        <w:t xml:space="preserve">            </w:t>
        <w:tab/>
        <w:t>Docket No. RM01-12-000</w:t>
        <w:tab/>
      </w:r>
    </w:p>
    <w:p>
      <w:pPr>
        <w:pStyle w:val="Normal"/>
        <w:spacing w:lineRule="auto" w:line="240" w:before="0" w:after="0"/>
        <w:ind w:firstLine="720" w:start="2880" w:end="0"/>
        <w:rPr>
          <w:b/>
        </w:rPr>
      </w:pPr>
      <w:r>
        <w:rPr>
          <w:b/>
        </w:rPr>
        <w:tab/>
      </w:r>
    </w:p>
    <w:p>
      <w:pPr>
        <w:pStyle w:val="Normal"/>
        <w:spacing w:lineRule="auto" w:line="240" w:before="0" w:after="0"/>
        <w:rPr>
          <w:b/>
        </w:rPr>
      </w:pPr>
      <w:r>
        <w:rPr>
          <w:b/>
        </w:rPr>
      </w:r>
    </w:p>
    <w:p>
      <w:pPr>
        <w:pStyle w:val="Normal"/>
        <w:spacing w:lineRule="auto" w:line="240" w:before="0" w:after="0"/>
        <w:rPr>
          <w:b/>
        </w:rPr>
      </w:pPr>
      <w:r>
        <w:rPr>
          <w:b/>
        </w:rPr>
      </w:r>
    </w:p>
    <w:p>
      <w:pPr>
        <w:pStyle w:val="Normal"/>
        <w:jc w:val="center"/>
        <w:rPr>
          <w:b/>
          <w:sz w:val="28"/>
        </w:rPr>
      </w:pPr>
      <w:r>
        <w:rPr>
          <w:b/>
          <w:sz w:val="28"/>
        </w:rPr>
        <w:t>AFFIDAVIT  OF  LARRY  E.  RUFF</w:t>
      </w:r>
    </w:p>
    <w:p>
      <w:pPr>
        <w:pStyle w:val="Normal"/>
        <w:rPr/>
      </w:pPr>
      <w:r>
        <w:rPr/>
        <w:t>I, Larry E. Ruff, being duly sworn, depose and say as follows:</w:t>
      </w:r>
    </w:p>
    <w:p>
      <w:pPr>
        <w:pStyle w:val="Heading1"/>
        <w:ind w:hanging="0" w:start="0"/>
        <w:rPr/>
      </w:pPr>
      <w:bookmarkStart w:id="0" w:name="__RefHeading___Toc529045731"/>
      <w:bookmarkEnd w:id="0"/>
      <w:r>
        <w:rPr/>
        <w:t>INTRODUCTION</w:t>
      </w:r>
    </w:p>
    <w:p>
      <w:pPr>
        <w:pStyle w:val="Heading2"/>
        <w:ind w:hanging="0" w:start="0"/>
        <w:rPr/>
      </w:pPr>
      <w:bookmarkStart w:id="1" w:name="__RefHeading___Toc529045732"/>
      <w:bookmarkEnd w:id="1"/>
      <w:r>
        <w:rPr/>
        <w:t>Background</w:t>
      </w:r>
    </w:p>
    <w:p>
      <w:pPr>
        <w:pStyle w:val="Normal"/>
        <w:rPr/>
      </w:pPr>
      <w:r>
        <w:rPr/>
        <w:t>My name is Larry E. Ruff.  My business address is 1221 Jones St., #A4, San Francisco, CA, 94109.  I am currently an independent consultant specializing in the economics of competitive electricity markets.  I have prepared this affidavit at the request of Constellation Power Source Inc. to provide my views on the most critical functional and organizational requirements for Regional Transmission Organizations (RTOs).</w:t>
      </w:r>
    </w:p>
    <w:p>
      <w:pPr>
        <w:pStyle w:val="Normal"/>
        <w:rPr/>
      </w:pPr>
      <w:r>
        <w:rPr/>
        <w:t>My professional résumé is attached.  In summary, I have been involved virtually full-time in the design and implementation of competitive electricity and gas markets around the world for over fourteen years, for most of that time as a senior member of the consulting firms Putnam, Hayes and Bartlett Inc. (PHB) and National Economic Research Associates (NERA), and for the past eighteen months as an independent consultant.  I have testified orally and submitted written testimony to the Federal Energy Regulatory Commission (the Commission or FERC) many times on various aspects of competitive electricity and gas markets.</w:t>
      </w:r>
    </w:p>
    <w:p>
      <w:pPr>
        <w:pStyle w:val="Heading2"/>
        <w:ind w:hanging="0" w:start="0"/>
        <w:rPr/>
      </w:pPr>
      <w:bookmarkStart w:id="2" w:name="__RefHeading___Toc529045733"/>
      <w:bookmarkEnd w:id="2"/>
      <w:r>
        <w:rPr/>
        <w:t>Purpose of This Affidavit</w:t>
      </w:r>
    </w:p>
    <w:p>
      <w:pPr>
        <w:pStyle w:val="Normal"/>
        <w:rPr/>
      </w:pPr>
      <w:r>
        <w:rPr/>
        <w:t>The Commission is currently considering the adoption of criteria, guidelines or even a “standard market design” to be used in the design and implementation of the four RTOs being developed for the continental United States outside ERCOT in Texas.  The adoption of a standard market design by the Commission could be a major step forward – provided that this standard market design includes the most critical functional and organizational features necessary to support efficient and effective competition within each RTO and from one RTO to another.  The purpose of this affidavit is to outline my views on what these critical features of an RTO are, based on my analysis of and experience with competitive electricity markets around the world and in the United States.</w:t>
      </w:r>
    </w:p>
    <w:p>
      <w:pPr>
        <w:pStyle w:val="Heading2"/>
        <w:ind w:hanging="0" w:start="0"/>
        <w:rPr/>
      </w:pPr>
      <w:bookmarkStart w:id="3" w:name="__RefHeading___Toc529045734"/>
      <w:bookmarkEnd w:id="3"/>
      <w:r>
        <w:rPr/>
        <w:t>Summary  of  Approach  and  Conclusions</w:t>
      </w:r>
    </w:p>
    <w:p>
      <w:pPr>
        <w:pStyle w:val="Normal"/>
        <w:rPr/>
      </w:pPr>
      <w:r>
        <w:rPr/>
        <w:t>My approach to defining what RTOs should do and how they should be organized, and my views on the most critical functions and forms of RTOs, can be summarized as follows:</w:t>
      </w:r>
    </w:p>
    <w:p>
      <w:pPr>
        <w:pStyle w:val="Normal"/>
        <w:numPr>
          <w:ilvl w:val="0"/>
          <w:numId w:val="2"/>
        </w:numPr>
        <w:rPr/>
      </w:pPr>
      <w:r>
        <w:rPr/>
        <w:t>The functions and forms of RTOs should be dictated by the fundamental objective of the individual RTOs and the system of RTOs, which is taken here to be to facilitate effective and efficient competition in electricity for the benefit of consumers.</w:t>
      </w:r>
      <w:r>
        <w:rPr>
          <w:rStyle w:val="FootnoteCharacters"/>
          <w:rStyle w:val="FootnoteReference"/>
        </w:rPr>
        <w:footnoteReference w:id="2"/>
      </w:r>
      <w:r>
        <w:rPr/>
        <w:t xml:space="preserve">  This fundamental objective implies many second-level objectives, such as efficient congestion management, liquid forward markets and seamless trading across RTOs.  Any such secondary objectives of RTOs, just like the functions and forms of RTOs, should be based on or at least be consistent with the fundamental objective of facilitating efficient and effective competition in electricity for the  benefit of consumers.</w:t>
      </w:r>
    </w:p>
    <w:p>
      <w:pPr>
        <w:pStyle w:val="Normal"/>
        <w:numPr>
          <w:ilvl w:val="0"/>
          <w:numId w:val="2"/>
        </w:numPr>
        <w:rPr/>
      </w:pPr>
      <w:r>
        <w:rPr/>
        <w:t xml:space="preserve">The </w:t>
      </w:r>
      <w:r>
        <w:rPr>
          <w:i/>
        </w:rPr>
        <w:t>sine qua non</w:t>
      </w:r>
      <w:r>
        <w:rPr/>
        <w:t xml:space="preserve"> of effective and efficient competition in electricity within and across a system of RTOs is an integrated system of open and efficient physical spot markets in commodity energy, transmission service and ancillary system services.  Such a system of integrated physical markets is necessary both to provide reliable and efficient delivery of physical electricity within and across RTOs and to produce prices that reflect the physical realities of electricity, including transmission constraints in particular.  Once all market participants have access to such physical markets and their prices, they can all buy and sell physical electricity and transmission service when and where they choose, and can use the spot prices as the natural reference prices in financial hedging and risk management instruments.  Because the RTO provides the physical transmission service, the RTO should define and sell primary transmission rights in the form of financial hedges against the spot price of physical transmission service.  But otherwise, forward contracts and risk-management instruments in energy, transmission and ancillary services can be defined and traded by anybody.  The genius of competitive markets and competitive market makers will then assure efficient, innovative and liquid forward trading within and across RTOs.</w:t>
      </w:r>
    </w:p>
    <w:p>
      <w:pPr>
        <w:pStyle w:val="Normal"/>
        <w:numPr>
          <w:ilvl w:val="0"/>
          <w:numId w:val="2"/>
        </w:numPr>
        <w:rPr/>
      </w:pPr>
      <w:r>
        <w:rPr/>
        <w:t>Virtually by definition, a physical market can help determine physical operations and the prices of physical services efficiently only if the market is closely integrated with system operations.  Thus, the most fundamental function of an RTO should be to assure the existence and operation of an efficient, integrated physical dispatch/spot market process that manages system operations and prices commodity energy, transmission service and ancillary services within its region and coordinates operations and trading with the similar RTO processes in other regions.  As a practical matter, this means that the independent system operator (ISO) within the RTO must also operate the physical markets for the RTO, define and administer the primary financial transmission rights, and coordinate with the RTOs and physical markets in other regions.</w:t>
      </w:r>
      <w:r>
        <w:rPr>
          <w:rStyle w:val="FootnoteCharacters"/>
          <w:rStyle w:val="FootnoteReference"/>
        </w:rPr>
        <w:footnoteReference w:id="3"/>
      </w:r>
      <w:r>
        <w:rPr/>
        <w:t xml:space="preserve">  That is, there should be a single independent system </w:t>
      </w:r>
      <w:r>
        <w:rPr>
          <w:b/>
          <w:i/>
        </w:rPr>
        <w:t>AND</w:t>
      </w:r>
      <w:r>
        <w:rPr/>
        <w:t xml:space="preserve"> market operator (IS/MO) within the RTO.</w:t>
      </w:r>
      <w:r>
        <w:rPr>
          <w:rStyle w:val="FootnoteCharacters"/>
          <w:rStyle w:val="FootnoteReference"/>
        </w:rPr>
        <w:footnoteReference w:id="4"/>
      </w:r>
    </w:p>
    <w:p>
      <w:pPr>
        <w:pStyle w:val="Normal"/>
        <w:numPr>
          <w:ilvl w:val="0"/>
          <w:numId w:val="2"/>
        </w:numPr>
        <w:rPr/>
      </w:pPr>
      <w:r>
        <w:rPr/>
        <w:t>The IS/MO entity must be clearly separated from any entities that are affected commercially by the outcomes of the operational and market processes it administers.  The Commission has said, and it is now widely accepted, that this requires a complete separation between the RTO and all generators and traders in the market.  But the IS/MO functions of an RTO should also be separated from the transmission-owning (Gridco) functions because the profitability and business opportunities of the Gridco are strongly affected by operational and market actions of the IS/MO.  The alleged advantages of combining the IS/MO and Gridco functions in a Transco – i.e., better coordination and incentives – are more than offset in practice by the real disadvantages of a larger, more complex and less transparent entity with internal conflicts of interest.  The IS/MO should be organizationally separate from any Gridco(s) just as it should be separate from competitive market participants.</w:t>
      </w:r>
    </w:p>
    <w:p>
      <w:pPr>
        <w:pStyle w:val="Normal"/>
        <w:rPr/>
      </w:pPr>
      <w:r>
        <w:rPr/>
        <w:t>To summarize the summary:  Whatever else the Commission may require of RTOs, and even if only after a transition period, the Commission should require that RTOs ultimately operate efficient integrated system dispatch and physical market processes within each RTO and coordinated across RTOs, administer a system of financial transmission rights or hedges, and completely separate these system and market operating functions from the activities of any transmission-owning affiliates.  Once the RTO is assuring reliable and efficient delivery of the physical product at transparent prices that reflect physical reality, the genius of competitive market makers and traders will assure the development of liquid markets in the futures contracts and risk-management instruments needed for commercial purposes.  The combination of system operations/physical market infrastructure provided by the RTOs and multiple forward markets provided by competitive market makers is the best way to assure effective and efficient competition in electricity for the benefit of consumers.</w:t>
      </w:r>
    </w:p>
    <w:p>
      <w:pPr>
        <w:pStyle w:val="Heading2"/>
        <w:ind w:hanging="0" w:start="0"/>
        <w:rPr/>
      </w:pPr>
      <w:bookmarkStart w:id="4" w:name="__RefHeading___Toc529045735"/>
      <w:bookmarkEnd w:id="4"/>
      <w:r>
        <w:rPr/>
        <w:t>Outline  of  This  Affidavit</w:t>
      </w:r>
    </w:p>
    <w:p>
      <w:pPr>
        <w:pStyle w:val="Normal"/>
        <w:spacing w:before="0" w:after="0"/>
        <w:rPr/>
      </w:pPr>
      <w:r>
        <w:rPr/>
        <w:t>The balance of this affidavit consists of the following four sections elaborating on the four points summarized above:</w:t>
      </w:r>
    </w:p>
    <w:p>
      <w:pPr>
        <w:pStyle w:val="Normal"/>
        <w:spacing w:before="0" w:after="0"/>
        <w:ind w:start="720" w:end="0"/>
        <w:rPr/>
      </w:pPr>
      <w:r>
        <w:rPr/>
        <w:t>Section 2:  The Objectives of RTOs</w:t>
      </w:r>
    </w:p>
    <w:p>
      <w:pPr>
        <w:pStyle w:val="Normal"/>
        <w:spacing w:before="0" w:after="0"/>
        <w:ind w:start="720" w:end="0"/>
        <w:rPr/>
      </w:pPr>
      <w:r>
        <w:rPr/>
        <w:t>Section 3:  The Physical Markets</w:t>
      </w:r>
    </w:p>
    <w:p>
      <w:pPr>
        <w:pStyle w:val="Normal"/>
        <w:spacing w:before="0" w:after="0"/>
        <w:ind w:start="720" w:end="0"/>
        <w:rPr/>
      </w:pPr>
      <w:r>
        <w:rPr/>
        <w:t>Section 4:  The RTO-Provided Operational/Physical Market Infrastructure</w:t>
      </w:r>
    </w:p>
    <w:p>
      <w:pPr>
        <w:pStyle w:val="TOC4"/>
        <w:rPr/>
      </w:pPr>
      <w:r>
        <w:rPr/>
        <w:t>Section 5:  The Organization of RTOs</w:t>
      </w:r>
    </w:p>
    <w:p>
      <w:pPr>
        <w:pStyle w:val="Heading1"/>
        <w:ind w:hanging="0" w:start="0"/>
        <w:rPr/>
      </w:pPr>
      <w:bookmarkStart w:id="5" w:name="__RefHeading___Toc529045736"/>
      <w:bookmarkEnd w:id="5"/>
      <w:r>
        <w:rPr/>
        <w:t>THE  OBJECTIVES  OF  RTO</w:t>
      </w:r>
      <w:r>
        <w:rPr>
          <w:caps w:val="false"/>
          <w:smallCaps w:val="false"/>
        </w:rPr>
        <w:t>s</w:t>
      </w:r>
    </w:p>
    <w:p>
      <w:pPr>
        <w:pStyle w:val="Normal"/>
        <w:rPr/>
      </w:pPr>
      <w:r>
        <w:rPr/>
        <w:t>The Commission should require that the functions and structure of RTOs be designed so that they will accomplish the fundamental objectives the Commission is trying to accomplish with its RTO policy.  These fundamental objectives, and some possible sub-objectives, are discussed in this section.</w:t>
      </w:r>
    </w:p>
    <w:p>
      <w:pPr>
        <w:pStyle w:val="Heading2"/>
        <w:ind w:hanging="0" w:start="0"/>
        <w:rPr/>
      </w:pPr>
      <w:bookmarkStart w:id="6" w:name="__RefHeading___Toc529045737"/>
      <w:bookmarkEnd w:id="6"/>
      <w:r>
        <w:rPr/>
        <w:t>The  Fundamental  Objective  of  RTO  Policy</w:t>
      </w:r>
    </w:p>
    <w:p>
      <w:pPr>
        <w:pStyle w:val="Normal"/>
        <w:spacing w:before="0" w:after="0"/>
        <w:rPr/>
      </w:pPr>
      <w:r>
        <w:rPr/>
        <w:t>Early in Order 2000, the Commission says that  RTOs are desirable because they “will enhance the benefits of competitive electricity markets” and “[c]ompetition in wholesale electricity markets is the best way to protect the public interest and ensure that electricity consumers pay the lowest price possible for reliable service.”</w:t>
      </w:r>
      <w:r>
        <w:rPr>
          <w:rStyle w:val="FootnoteCharacters"/>
          <w:rStyle w:val="FootnoteReference"/>
        </w:rPr>
        <w:footnoteReference w:id="5"/>
      </w:r>
      <w:r>
        <w:rPr/>
        <w:t xml:space="preserve">  These statements are interpreted here to imply that the Commission’s fundamental objective in encouraging the formation of RTOs is:</w:t>
      </w:r>
    </w:p>
    <w:p>
      <w:pPr>
        <w:pStyle w:val="Normal"/>
        <w:spacing w:before="0" w:after="0"/>
        <w:rPr/>
      </w:pPr>
      <w:r>
        <w:rPr/>
      </w:r>
    </w:p>
    <w:p>
      <w:pPr>
        <w:pStyle w:val="Normal"/>
        <w:ind w:start="1440" w:end="1440"/>
        <w:jc w:val="center"/>
        <w:rPr>
          <w:b/>
          <w:sz w:val="28"/>
        </w:rPr>
      </w:pPr>
      <w:r>
        <w:rPr>
          <w:b/>
          <w:sz w:val="28"/>
        </w:rPr>
        <w:t>To facilitate efficient and effective competition in electricity for the benefit of consumers.</w:t>
      </w:r>
    </w:p>
    <w:p>
      <w:pPr>
        <w:pStyle w:val="Heading2"/>
        <w:ind w:hanging="0" w:start="0"/>
        <w:rPr/>
      </w:pPr>
      <w:bookmarkStart w:id="7" w:name="__RefHeading___Toc529045738"/>
      <w:bookmarkEnd w:id="7"/>
      <w:r>
        <w:rPr/>
        <w:t>Sub-Objectives  of  RTOs</w:t>
      </w:r>
    </w:p>
    <w:p>
      <w:pPr>
        <w:pStyle w:val="Normal"/>
        <w:rPr/>
      </w:pPr>
      <w:r>
        <w:rPr/>
        <w:t>The fundamental objective of facilitating efficient and effective competition in electricity for the benefit of consumers can be accomplished only if many sub-objectives are met.  No list of such sub-objectives will be complete or uncontroversial, but most people would probably agree that a system of RTOs should accomplish at least – some might say at most – the following sub-objectives:</w:t>
      </w:r>
    </w:p>
    <w:p>
      <w:pPr>
        <w:pStyle w:val="Normal"/>
        <w:numPr>
          <w:ilvl w:val="0"/>
          <w:numId w:val="4"/>
        </w:numPr>
        <w:tabs>
          <w:tab w:val="clear" w:pos="720"/>
          <w:tab w:val="left" w:pos="6780" w:leader="none"/>
        </w:tabs>
        <w:rPr/>
      </w:pPr>
      <w:r>
        <w:rPr/>
        <w:t>Provide and price physical transmission service and tradable transmission rights efficiently within each RTO and across RTOs, consistent with security standards and actual grid conditions.</w:t>
      </w:r>
    </w:p>
    <w:p>
      <w:pPr>
        <w:pStyle w:val="Normal"/>
        <w:numPr>
          <w:ilvl w:val="0"/>
          <w:numId w:val="4"/>
        </w:numPr>
        <w:tabs>
          <w:tab w:val="clear" w:pos="720"/>
          <w:tab w:val="left" w:pos="6780" w:leader="none"/>
        </w:tabs>
        <w:rPr/>
      </w:pPr>
      <w:r>
        <w:rPr/>
        <w:t>Coordinate the physical operations of energy producers and loads, grid facilities and ancillary services within each RTO and across RTOs so that real-time operations are reliable and efficient consistent with security standards and actual grid conditions.</w:t>
      </w:r>
    </w:p>
    <w:p>
      <w:pPr>
        <w:pStyle w:val="Normal"/>
        <w:numPr>
          <w:ilvl w:val="0"/>
          <w:numId w:val="4"/>
        </w:numPr>
        <w:tabs>
          <w:tab w:val="clear" w:pos="720"/>
          <w:tab w:val="left" w:pos="6780" w:leader="none"/>
        </w:tabs>
        <w:rPr/>
      </w:pPr>
      <w:r>
        <w:rPr/>
        <w:t>Facilitate efficient and liquid physical markets in commodity energy, transmission service and ancillary services within each RTO and seamlessly across RTOs, consistent with security standards and actual grid conditions.</w:t>
      </w:r>
    </w:p>
    <w:p>
      <w:pPr>
        <w:pStyle w:val="Normal"/>
        <w:numPr>
          <w:ilvl w:val="0"/>
          <w:numId w:val="4"/>
        </w:numPr>
        <w:tabs>
          <w:tab w:val="clear" w:pos="720"/>
          <w:tab w:val="left" w:pos="6780" w:leader="none"/>
        </w:tabs>
        <w:rPr/>
      </w:pPr>
      <w:r>
        <w:rPr/>
        <w:t>Facilitate efficient and liquid forward markets in hedging and risk management instruments within each RTO and seamlessly across RTOs, consistent with security standards and actual grid conditions.</w:t>
      </w:r>
    </w:p>
    <w:p>
      <w:pPr>
        <w:pStyle w:val="Normal"/>
        <w:numPr>
          <w:ilvl w:val="0"/>
          <w:numId w:val="4"/>
        </w:numPr>
        <w:tabs>
          <w:tab w:val="clear" w:pos="720"/>
          <w:tab w:val="left" w:pos="6780" w:leader="none"/>
        </w:tabs>
        <w:rPr/>
      </w:pPr>
      <w:r>
        <w:rPr/>
        <w:t>Assure that market participants have price incentives to operate in the short run and to invest in the long run in a way that improves rather than degrades the efficiency and competitiveness of the system, including improving the capability and utilization of the grid.</w:t>
      </w:r>
    </w:p>
    <w:p>
      <w:pPr>
        <w:pStyle w:val="Heading2"/>
        <w:ind w:hanging="0" w:start="0"/>
        <w:rPr/>
      </w:pPr>
      <w:bookmarkStart w:id="8" w:name="__RefHeading___Toc529045739"/>
      <w:bookmarkEnd w:id="8"/>
      <w:r>
        <w:rPr/>
        <w:t>RTO  Objectives  vs.  RTO  Functions</w:t>
      </w:r>
    </w:p>
    <w:p>
      <w:pPr>
        <w:pStyle w:val="Normal"/>
        <w:rPr/>
      </w:pPr>
      <w:r>
        <w:rPr/>
        <w:t>It is worth noting that the first two sub-objectives above are stated as operating responsibilities or functions of the RTO.  This reflects the widely accepted view that RTOs must provide and price physical transmission service and tradable transmission rights, which in turn requires the RTO to coordinate generation, load, grid facilities and ancillary services in real time.  These are things that the RTO must do itself (although it can always contract out some activities under close supervision where this is cost-effective).</w:t>
      </w:r>
    </w:p>
    <w:p>
      <w:pPr>
        <w:pStyle w:val="Normal"/>
        <w:rPr/>
      </w:pPr>
      <w:r>
        <w:rPr/>
        <w:t>The other subobjectives above are stated as things that the RTO must “facilitate” or “assure.”  This reflects the fact that there is less agreement about the extent to which RTOs should operate markets and provide price incentives themselves, as opposed to setting and enforcing technical limits and letting competitive markets and exchanges develop to operate markets and determine prices.  As discussed below, both theory and experience demonstrate convincingly that RTOs will not accomplish their objectives unless they operate the physical markets (which may be defined to include hour-ahead and/or day-ahead markets as well as real-time markets) themselves and designate trading hubs to facilitate forward contracting.  But operating markets is not itself an objective of RTOs; it is “only” something RTOs must do if they are to accomplish their objectives.</w:t>
      </w:r>
    </w:p>
    <w:p>
      <w:pPr>
        <w:pStyle w:val="Heading2"/>
        <w:ind w:hanging="0" w:start="0"/>
        <w:rPr/>
      </w:pPr>
      <w:bookmarkStart w:id="9" w:name="__RefHeading___Toc529045740"/>
      <w:bookmarkEnd w:id="9"/>
      <w:r>
        <w:rPr/>
        <w:t>Objectives  and  Physical  Reality</w:t>
      </w:r>
    </w:p>
    <w:p>
      <w:pPr>
        <w:pStyle w:val="Normal"/>
        <w:rPr/>
      </w:pPr>
      <w:r>
        <w:rPr/>
        <w:t>It is also worth noting that the above statement of RTO sub-objectives emphasizes that operations and pricing must be “consistent with security standards and actual grid conditions.”  The security standards on a grid – e.g., the system should remain stable even after the sudden loss of any one or more transmission lines or generators, the so-called “N-1” or “N-More” standard – are set periodically by group decision processes (currently managed by NERC and its regional divisions) and do not change rapidly.</w:t>
      </w:r>
      <w:r>
        <w:rPr>
          <w:rStyle w:val="FootnoteCharacters"/>
          <w:rStyle w:val="FootnoteReference"/>
        </w:rPr>
        <w:footnoteReference w:id="6"/>
      </w:r>
      <w:r>
        <w:rPr/>
        <w:t xml:space="preserve">  But actual grid conditions and hence such things as available transmission capacity (ATC) do change rapidly, not only because the status of grid facilities can change quickly, but also because the location and characteristics of generation and load can change quickly.  For example, the ATC between point A and point B can change because the amount of generation at point C changes, or because the same amount of generation at point C is coming from generators with different spinning inertia or reactive power characteristics.</w:t>
      </w:r>
    </w:p>
    <w:p>
      <w:pPr>
        <w:pStyle w:val="Normal"/>
        <w:rPr/>
      </w:pPr>
      <w:r>
        <w:rPr/>
        <w:t xml:space="preserve">Operating and market arrangements that impose artificial limits on the use of the grid or base prices on artificial assumptions about grid capacity will result in inefficient or unreliable real-time operations and will distort longer-term incentives in ways that make things worse over time.  Presumably nobody would suggest that such artificial limits and pricing assumptions are desirable </w:t>
      </w:r>
      <w:r>
        <w:rPr>
          <w:i/>
        </w:rPr>
        <w:t>per se</w:t>
      </w:r>
      <w:r>
        <w:rPr/>
        <w:t>.  But some proposed operating and market processes would require such artificial limits and pricing assumptions simply because the processes are too slow and cumbersome to reflect accurately the ever-changing conditions on the grid.  If RTOs are to accomplish their efficiency and reliability objectives, the coordination functions they provide and the markets and pricing they “facilitate” must be capable of accurately reflecting rapidly changing physical realities.</w:t>
      </w:r>
    </w:p>
    <w:p>
      <w:pPr>
        <w:pStyle w:val="Heading1"/>
        <w:ind w:hanging="0" w:start="0"/>
        <w:rPr/>
      </w:pPr>
      <w:bookmarkStart w:id="10" w:name="__RefHeading___Toc529045741"/>
      <w:bookmarkEnd w:id="10"/>
      <w:r>
        <w:rPr/>
        <w:t>THE  IMPORTANCE  OF  PHYSICAL  MARKETS</w:t>
      </w:r>
    </w:p>
    <w:p>
      <w:pPr>
        <w:pStyle w:val="Normal"/>
        <w:rPr/>
      </w:pPr>
      <w:r>
        <w:rPr/>
        <w:t>Competition in any commodity cannot be efficient or effective without efficient and reliable physical markets to coordinate and price the production, consumption and delivery of the physical product.  Once efficient physical markets and their prices exist, all producers and consumers can buy or sell the physical commodity and physical transmission service when and where they choose at transparent prices that reflect the costs of production, the value of consumption and the physical realities of delivery.  Projected prices in the physical markets can then be used to value physical and contract assets, and the actual physical prices can be used as reference prices in all manner of financial risk-management instruments.  Competitive market makers and traders will then develop efficient and liquid forward markets in physical contracts and in financial risk management instruments.  But underlying all this commercial superstructure must be a system of efficient and open physical markets.</w:t>
      </w:r>
    </w:p>
    <w:p>
      <w:pPr>
        <w:pStyle w:val="Heading2"/>
        <w:ind w:hanging="0" w:start="0"/>
        <w:rPr/>
      </w:pPr>
      <w:bookmarkStart w:id="11" w:name="__RefHeading___Toc529045742"/>
      <w:bookmarkEnd w:id="11"/>
      <w:r>
        <w:rPr/>
        <w:t>Physical  Markets  and  Physical  Delivery</w:t>
      </w:r>
    </w:p>
    <w:p>
      <w:pPr>
        <w:pStyle w:val="Normal"/>
        <w:rPr/>
      </w:pPr>
      <w:r>
        <w:rPr/>
        <w:t>The need for efficient physical markets as the foundation for everything else is too often forgotten in discussions of electricity markets.  Traders, market makers and financial wizards tout their ability to invent and trade sophisticated risk management instruments without centralized coordination, and sometimes resist centralized markets and even central coordination, as though it is the magic of paper contracts and computer files that somehow gets physical electricity generated at point A and moved to point B where it is consumed.  What they often seem to forget is that without efficient and open physical markets to assure the producer(s) at A that they can always sell and consumer(s) at B that they can always buy the physical commodity at observable prices that reflect the actual costs of getting electricity from A to B, paper contracts and digital data would be meaningless.</w:t>
      </w:r>
    </w:p>
    <w:p>
      <w:pPr>
        <w:pStyle w:val="Normal"/>
        <w:rPr/>
      </w:pPr>
      <w:r>
        <w:rPr/>
        <w:t>It is perhaps understandable that the importance of physical markets in electricity is sometimes forgotten, because in most commodities the physical markets are so simple and/or so long-established that they are easily taken for granted.  For example, farmers deliver their physical wheat or pork-bellies through multiple channels that also serve as physical markets; arbitragers buying and selling relatively small amounts of physical product tend to equilibrate physical transaction prices across time and locations; and reporting services provide indexes of these prices.  This existing physical market infrastructure makes it relatively easy for market makers and exchanges to define and trade financial contracts based on a few of the most representative price indexes.  But such contracts will be liquid and will provide reasonable hedges for physical market participants only to the extent there is an efficient network of physical markets integrated with the physical distribution system and producing transparent prices that reflect physical realities, including those of the distribution system.</w:t>
      </w:r>
    </w:p>
    <w:p>
      <w:pPr>
        <w:pStyle w:val="Normal"/>
        <w:rPr/>
      </w:pPr>
      <w:r>
        <w:rPr/>
        <w:t xml:space="preserve">Physical markets with transparent prices reflecting the realities of operations and delivery have traditionally been few and inefficient in electricity, and hence there has been relatively little commercial contracting and risk-management activity.  The lack of such physical markets and hence commercial trading was not </w:t>
      </w:r>
      <w:r>
        <w:rPr>
          <w:i/>
        </w:rPr>
        <w:t>caused by</w:t>
      </w:r>
      <w:r>
        <w:rPr/>
        <w:t xml:space="preserve"> the traditional monopoly structure, but was (at least originally) more </w:t>
      </w:r>
      <w:r>
        <w:rPr>
          <w:i/>
        </w:rPr>
        <w:t>the cause of</w:t>
      </w:r>
      <w:r>
        <w:rPr/>
        <w:t xml:space="preserve"> that structure.  It is inherently difficult to design and operate physical markets that can manage and price the complex and rapidly-changing reality on an electricity grid, and without modern information and computing technology it was impossible.  Even now, the most important and difficult challenge facing the Commission’s RTO policies is to assure the development and maintenance of open and efficient physical markets in electricity.</w:t>
      </w:r>
    </w:p>
    <w:p>
      <w:pPr>
        <w:pStyle w:val="Normal"/>
        <w:tabs>
          <w:tab w:val="clear" w:pos="720"/>
          <w:tab w:val="left" w:pos="6780" w:leader="none"/>
        </w:tabs>
        <w:rPr/>
      </w:pPr>
      <w:r>
        <w:rPr/>
        <w:t xml:space="preserve">An open and efficient physical electricity market should allow any market participant with the necessary physical capabilities to buy and sell physical energy and Reserve and Ancillary Services (R&amp;AS) anywhere on the grid, and buy physical transmission service between any locations on the grid, at any time and at efficient, transparent prices that reflect physical reality.  Given this capability to buy and sell physical products in real time, competing market makers and processes will develop many different types of forward contracts and risk-management instruments for electrical energy and even ancillary services.  The RTO is the ultimate buyer and user of physical R&amp;AS (albeit as agent for system users as a whole), and is also the only provider and seller of physical transmission service and hence is the natural and efficient seller of primary transmission congestion contracts (as opposed to financial derivatives, which can be sold by anyone).  But otherwise it is neither necessary nor appropriate for the RTO to buy or sell physical products or forward contracts.  Whether the RTO should </w:t>
      </w:r>
      <w:r>
        <w:rPr>
          <w:i/>
        </w:rPr>
        <w:t>administer markets</w:t>
      </w:r>
      <w:r>
        <w:rPr/>
        <w:t xml:space="preserve"> in which market participants trade physical products or forward contracts is a fundamentally different issue that is discussed below.</w:t>
      </w:r>
    </w:p>
    <w:p>
      <w:pPr>
        <w:pStyle w:val="Heading2"/>
        <w:ind w:hanging="0" w:start="0"/>
        <w:rPr/>
      </w:pPr>
      <w:bookmarkStart w:id="12" w:name="__RefHeading___Toc529045743"/>
      <w:bookmarkEnd w:id="12"/>
      <w:r>
        <w:rPr/>
        <w:t>Complexity  and  Risks  in  Physical  Markets</w:t>
      </w:r>
    </w:p>
    <w:p>
      <w:pPr>
        <w:pStyle w:val="Normal"/>
        <w:rPr/>
      </w:pPr>
      <w:r>
        <w:rPr/>
        <w:t>An efficient physical market must include markets in the commodity and (at least at the wholesale level) markets in transportation services and the various technical services necessary to provide reliable and efficient delivery.  These markets and their prices should (again, at least at the wholesale level) differentiate products by time and place with enough detail to reflect at least most of the complexity of the underlying physical reality.  In electricity, this means that (at least) wholesale products and services should be defined and priced every few minutes or so and for each electrically distinct location or “node” on the grid.</w:t>
      </w:r>
      <w:r>
        <w:rPr>
          <w:rStyle w:val="FootnoteCharacters"/>
          <w:rStyle w:val="FootnoteReference"/>
        </w:rPr>
        <w:footnoteReference w:id="7"/>
      </w:r>
    </w:p>
    <w:p>
      <w:pPr>
        <w:pStyle w:val="Normal"/>
        <w:rPr/>
      </w:pPr>
      <w:r>
        <w:rPr/>
        <w:t>Competitive risk-taking service providers in any market may choose to internalize some of the complexity and risks of the physical market by offering simpler products and less volatile prices than those in the underlying physical market.  But such simplification and risk-management services should be private arrangements between consenting adults, not something imposed on all players in the wholesale market.  In particular, if a monopoly must provide some of the delivery infrastructure – as an RTO must do in electricity – that monopoly should not take on the risks involved in artificially simplifying services and stabilizing prices for system users, because doing so would reduce the accuracy of prices and require all system users to pay for the monopoly-provided risk reduction whether they want to or not.</w:t>
      </w:r>
    </w:p>
    <w:p>
      <w:pPr>
        <w:pStyle w:val="Normal"/>
        <w:rPr/>
      </w:pPr>
      <w:r>
        <w:rPr/>
        <w:t>Monopoly socialization of risks and suppression of price signals by an RTO may be necessary to some extent because of the difficulty of pricing all effects accurately; for example, the difficulties of pricing reactive power and of pricing every few seconds requires the RTO to socialize the costs of voltage control and spinning reserves.  But such cost socialization and price suppression reduces the scope for competition and increases the extent to which the RTO must intervene in the market, and hence should not be taken further than necessary for technical reasons.</w:t>
      </w:r>
    </w:p>
    <w:p>
      <w:pPr>
        <w:pStyle w:val="Heading2"/>
        <w:ind w:hanging="0" w:start="0"/>
        <w:rPr/>
      </w:pPr>
      <w:bookmarkStart w:id="13" w:name="__RefHeading___Toc529045744"/>
      <w:bookmarkEnd w:id="13"/>
      <w:r>
        <w:rPr/>
        <w:t>Physical  Markets  and  Forward  Contracting</w:t>
      </w:r>
    </w:p>
    <w:p>
      <w:pPr>
        <w:pStyle w:val="Normal"/>
        <w:tabs>
          <w:tab w:val="clear" w:pos="720"/>
          <w:tab w:val="left" w:pos="6780" w:leader="none"/>
        </w:tabs>
        <w:rPr/>
      </w:pPr>
      <w:r>
        <w:rPr/>
        <w:t>Once the physical markets and the RTO-provided transmission contracts are available, private market makers and traders can and presumably will offer many kinds of forward contracts.  For example, the following types of contracts in electricity will – if there is enough demand for them – be defined and traded in decentralized markets:</w:t>
      </w:r>
    </w:p>
    <w:p>
      <w:pPr>
        <w:pStyle w:val="Normal"/>
        <w:numPr>
          <w:ilvl w:val="0"/>
          <w:numId w:val="5"/>
        </w:numPr>
        <w:tabs>
          <w:tab w:val="clear" w:pos="720"/>
          <w:tab w:val="left" w:pos="6780" w:leader="none"/>
        </w:tabs>
        <w:rPr/>
      </w:pPr>
      <w:r>
        <w:rPr/>
        <w:t>Delivered energy contracts for defined amounts of physical energy at the buyer’s specific location at a defined price.  A seller of such a contract can hedge itself by owning or contracting with generation at different locations and buying transmission contracts from the generator locations to the buyer’s location.</w:t>
      </w:r>
    </w:p>
    <w:p>
      <w:pPr>
        <w:pStyle w:val="Normal"/>
        <w:numPr>
          <w:ilvl w:val="0"/>
          <w:numId w:val="5"/>
        </w:numPr>
        <w:tabs>
          <w:tab w:val="clear" w:pos="720"/>
          <w:tab w:val="left" w:pos="6780" w:leader="none"/>
        </w:tabs>
        <w:rPr/>
      </w:pPr>
      <w:r>
        <w:rPr/>
        <w:t>Financial derivatives or hedges against the prices of physical transmission service.  Because only the RTO can provide and price the physical transmission service, the RTO is the natural and efficient seller of primary hedges or financial transmission rights (FTRs) against the price of point-to-point (including points defined as hubs) physical transmission service.  But clever traders can assemble portfolios of RTO-issued point-to-point FTRs and use these to back simplified financial derivatives that hedge transmission prices from (say) any point in zone A to any point in zone B, or even to back a system of financial flowgate rights (FGRs).</w:t>
      </w:r>
      <w:r>
        <w:rPr>
          <w:rStyle w:val="FootnoteCharacters"/>
          <w:rStyle w:val="FootnoteReference"/>
        </w:rPr>
        <w:footnoteReference w:id="8"/>
      </w:r>
    </w:p>
    <w:p>
      <w:pPr>
        <w:pStyle w:val="Normal"/>
        <w:numPr>
          <w:ilvl w:val="0"/>
          <w:numId w:val="5"/>
        </w:numPr>
        <w:tabs>
          <w:tab w:val="clear" w:pos="720"/>
          <w:tab w:val="left" w:pos="6780" w:leader="none"/>
        </w:tabs>
        <w:rPr/>
      </w:pPr>
      <w:r>
        <w:rPr/>
        <w:t>Contracts for differences (CfDs) against the real-time energy price at various market-chosen hubs.  Sellers of such contracts can hedge themselves by controlling generation near the hub and taking the limited basis risk, or by controlling generation far from the hub and buying transmission contracts to the hub.  Buyers can use such hedges to hedge their physical purchases near the hub or, with transmission contracts, elsewhere.</w:t>
      </w:r>
    </w:p>
    <w:p>
      <w:pPr>
        <w:pStyle w:val="Normal"/>
        <w:tabs>
          <w:tab w:val="clear" w:pos="720"/>
          <w:tab w:val="left" w:pos="6780" w:leader="none"/>
        </w:tabs>
        <w:rPr/>
      </w:pPr>
      <w:r>
        <w:rPr/>
        <w:t>Innovative marketers will offer these and many other, more complex and sophisticated contracts if there is enough market demand for and supply of them.  The critical thing to note is that such contracts work well if, but only if, there is an efficient physical market in which physical market participants can buy and sell physical services at transparent prices that reflect the reality of physical operations and delivery.  An open and efficient physical market is the foundation on which all else is built.</w:t>
      </w:r>
      <w:r>
        <w:rPr>
          <w:rStyle w:val="FootnoteCharacters"/>
          <w:rStyle w:val="FootnoteReference"/>
        </w:rPr>
        <w:footnoteReference w:id="9"/>
      </w:r>
    </w:p>
    <w:p>
      <w:pPr>
        <w:pStyle w:val="Heading1"/>
        <w:ind w:hanging="0" w:start="0"/>
        <w:rPr/>
      </w:pPr>
      <w:bookmarkStart w:id="14" w:name="__RefHeading___Toc529045745"/>
      <w:bookmarkEnd w:id="14"/>
      <w:r>
        <w:rPr/>
        <w:t>THE  RTO-PROVIDED  MARKET  INFRASTRUCTURE</w:t>
      </w:r>
    </w:p>
    <w:p>
      <w:pPr>
        <w:pStyle w:val="Normal"/>
        <w:rPr/>
      </w:pPr>
      <w:r>
        <w:rPr/>
        <w:t>It is now generally accepted that RTOs or something equivalent must provide and manage the physical grid infrastructure – the RTO’s “Gridco” function – and the coordination infrastructure – the RTO’s “ISO” function.  But efficient and effective competition in electricity for the benefit of consumers also requires some market infrastructure.  This market infrastructure will not develop or function on its own or under the direction of some invisible hand, any more than the physical infrastructure or the coordination infrastructure will.  At least the real-time physical market, and perhaps hour-ahead and/or day-ahead markets as well, must be centrally designed, maintained and operated in a process managed by the RTOs, just as the physical grid and coordination infrastructure are managed by the RTO.  As a practical matter, this requires that the RTO operate an integrated dispatch/spot market process – the RTO’s “IS/MO” function.</w:t>
      </w:r>
    </w:p>
    <w:p>
      <w:pPr>
        <w:pStyle w:val="Heading2"/>
        <w:ind w:hanging="0" w:start="0"/>
        <w:rPr/>
      </w:pPr>
      <w:bookmarkStart w:id="15" w:name="__RefHeading___Toc529045746"/>
      <w:bookmarkEnd w:id="15"/>
      <w:r>
        <w:rPr/>
        <w:t>The  Commission’s  Requirements  for  RTO  Markets</w:t>
      </w:r>
    </w:p>
    <w:p>
      <w:pPr>
        <w:pStyle w:val="Normal"/>
        <w:rPr/>
      </w:pPr>
      <w:r>
        <w:rPr/>
        <w:t>The Commission has recognized the need for RTOs to provide, or at least assure the existence of, markets closely coordinated with physical operations.  For example, in Order 2000 the Commission stated RTOs are required to:</w:t>
      </w:r>
    </w:p>
    <w:p>
      <w:pPr>
        <w:pStyle w:val="Normal"/>
        <w:numPr>
          <w:ilvl w:val="0"/>
          <w:numId w:val="3"/>
        </w:numPr>
        <w:rPr/>
      </w:pPr>
      <w:r>
        <w:rPr/>
        <w:t>Provide a real-time balancing market and assure that all market participants have nondiscriminatory access to it.</w:t>
      </w:r>
      <w:r>
        <w:rPr>
          <w:rStyle w:val="FootnoteCharacters"/>
          <w:rStyle w:val="FootnoteReference"/>
        </w:rPr>
        <w:footnoteReference w:id="10"/>
      </w:r>
      <w:r>
        <w:rPr/>
        <w:t xml:space="preserve"> </w:t>
      </w:r>
    </w:p>
    <w:p>
      <w:pPr>
        <w:pStyle w:val="Normal"/>
        <w:numPr>
          <w:ilvl w:val="0"/>
          <w:numId w:val="3"/>
        </w:numPr>
        <w:rPr/>
      </w:pPr>
      <w:r>
        <w:rPr/>
        <w:t>Provide market-based mechanisms to manage congestion within the region and to deal with loop flows across multiple regions, as an alternative to administrative TLR (transmission loading relief) methods.</w:t>
      </w:r>
      <w:r>
        <w:rPr>
          <w:rStyle w:val="FootnoteCharacters"/>
          <w:rStyle w:val="FootnoteReference"/>
        </w:rPr>
        <w:footnoteReference w:id="11"/>
      </w:r>
    </w:p>
    <w:p>
      <w:pPr>
        <w:pStyle w:val="Normal"/>
        <w:numPr>
          <w:ilvl w:val="0"/>
          <w:numId w:val="3"/>
        </w:numPr>
        <w:rPr/>
      </w:pPr>
      <w:r>
        <w:rPr/>
        <w:t>Price congestion and imbalances efficiently, so that price signals will encourage efficient short-run operations and long-run investment.</w:t>
      </w:r>
      <w:r>
        <w:rPr>
          <w:rStyle w:val="FootnoteCharacters"/>
          <w:rStyle w:val="FootnoteReference"/>
        </w:rPr>
        <w:footnoteReference w:id="12"/>
      </w:r>
    </w:p>
    <w:p>
      <w:pPr>
        <w:pStyle w:val="Normal"/>
        <w:numPr>
          <w:ilvl w:val="0"/>
          <w:numId w:val="3"/>
        </w:numPr>
        <w:rPr/>
      </w:pPr>
      <w:r>
        <w:rPr/>
        <w:t>Offer tradable transmission rights that are consistent with efficient regional dispatch.</w:t>
      </w:r>
      <w:r>
        <w:rPr>
          <w:rStyle w:val="FootnoteCharacters"/>
          <w:rStyle w:val="FootnoteReference"/>
        </w:rPr>
        <w:footnoteReference w:id="13"/>
      </w:r>
    </w:p>
    <w:p>
      <w:pPr>
        <w:pStyle w:val="Normal"/>
        <w:rPr/>
      </w:pPr>
      <w:r>
        <w:rPr/>
        <w:t>The Commission did not say that the various markets it requires would be “physical” markets, or that they must necessarily be integrated with the physical coordination functions of an RTO.  But the Commission did point with approval to systems, most notably PJM, in which an ISO operates an integrated physical dispatch/spot market process that uses markets based on locational marginal prices (LMPs) and trading hubs to manage imbalances and congestion, to price transmission service and loop flow, and to support a system of firm (or financial) transmission rights (FTRs).  Markets of this general form are called “LMP-based markets” here.</w:t>
      </w:r>
    </w:p>
    <w:p>
      <w:pPr>
        <w:pStyle w:val="Heading2"/>
        <w:ind w:hanging="0" w:start="0"/>
        <w:rPr/>
      </w:pPr>
      <w:bookmarkStart w:id="16" w:name="__RefHeading___Toc529045747"/>
      <w:bookmarkEnd w:id="16"/>
      <w:r>
        <w:rPr/>
        <w:t>The  Need  for  LMP-Based  Markets</w:t>
      </w:r>
    </w:p>
    <w:p>
      <w:pPr>
        <w:pStyle w:val="Normal"/>
        <w:rPr/>
      </w:pPr>
      <w:r>
        <w:rPr/>
        <w:t>Obviously, the physical market cannot accurately reflect the costs of managing real-time imbalances and congestion unless it is closely integrated with real-time physical operations.  In principle, this integration might be possible with a physical market institutionally separated from system operations.  But the physical market would have to be a monopoly</w:t>
      </w:r>
      <w:r>
        <w:rPr>
          <w:rStyle w:val="FootnoteCharacters"/>
          <w:rStyle w:val="FootnoteReference"/>
        </w:rPr>
        <w:footnoteReference w:id="14"/>
      </w:r>
      <w:r>
        <w:rPr/>
        <w:t xml:space="preserve"> (and hence regulated and independent of any market participants) that freely exchanges both market and operational information in near-real-time with the independent physical system operator.  If a regulated, independent monopoly market must exchange market and operational data freely with the independent system operator, commonsense suggests that the independent system operator might as well operate the real-time market as well, becoming an independent system </w:t>
      </w:r>
      <w:r>
        <w:rPr>
          <w:b/>
          <w:i/>
        </w:rPr>
        <w:t>AND</w:t>
      </w:r>
      <w:r>
        <w:rPr/>
        <w:t xml:space="preserve"> market operator – what is called here an IS/MO. And, in fact, nobody has even plausibly proposed an efficient physical market that does not operate this way.</w:t>
      </w:r>
    </w:p>
    <w:p>
      <w:pPr>
        <w:pStyle w:val="Normal"/>
        <w:rPr/>
      </w:pPr>
      <w:r>
        <w:rPr/>
        <w:t>The most obvious example of an attempt to create a competitive electricity market in which the ISO does not operate markets, or does so only reluctantly and inefficiently, is in California.  Market designers there hoped that the ISO could simply implement operating schedules determined by trading in decentralized markets, of which the PX was only a transitional “first among equals”.  It proved impractical for the ISO to operate the system without a real-time energy market and, eventually, a within-day or hour-ahead market as well, but as a compromise these markets were deliberately constrained to be highly inefficient.  Once the California market started operation, the decentralized reserve and ancillary service markets proved to be so inefficient and easily gamed that they had to be abandoned, and the congestion management arrangements worked so poorly that the Commission called them “fundamentally flawed” and ordered a complete redesign.  The ISO was still trying to fix things when wholesale prices exploded in California – an explosion that was exacerbated to some unknown but probably large extent by the inefficiencies inherent in trying to separate system operations from markets.</w:t>
      </w:r>
    </w:p>
    <w:p>
      <w:pPr>
        <w:pStyle w:val="Normal"/>
        <w:rPr/>
      </w:pPr>
      <w:r>
        <w:rPr/>
        <w:t xml:space="preserve">The England and Wales system has recently abandoned the original Pool and replaced it with New Electricity Trading Arrangements (NETA) similar in concept to the California market, except with no “official” PX and with a real-time market so deliberately inefficient that it is called a Balancing </w:t>
      </w:r>
      <w:r>
        <w:rPr>
          <w:i/>
        </w:rPr>
        <w:t>Mechanism</w:t>
      </w:r>
      <w:r>
        <w:rPr/>
        <w:t xml:space="preserve"> (BM) rather than a market.  This arrangement has been operating only since March 2001, but the lack of an efficient real-time physical market is already driving cogenerators, load managers and other non-portfolio market participants from the market and requiring the ISO National Grid Company (NGC) to contract long-term with more and more resources in order to operate the system. </w:t>
      </w:r>
    </w:p>
    <w:p>
      <w:pPr>
        <w:pStyle w:val="Normal"/>
        <w:rPr/>
      </w:pPr>
      <w:r>
        <w:rPr/>
        <w:t>Some embryonic RTOs may still be hoping to develop systems in which the RTO would not operate markets itself, but would “simply” define and enforce technical rules of the road and physical transmission rights.  Such efforts are cited as reasons why the Commission should not prescribe how RTOs should provide the market mechanisms required by the Commission, and instead should continue to “let a thousand flowers bloom.”  But there is little logic and no evidence for the proposition that these efforts to develop decentralized physical markets will succeed, much less that any resulting markets would be better than the LMP-based markets that the Commission has already cited as promising models.</w:t>
      </w:r>
    </w:p>
    <w:p>
      <w:pPr>
        <w:pStyle w:val="Normal"/>
        <w:rPr/>
      </w:pPr>
      <w:r>
        <w:rPr/>
        <w:t xml:space="preserve">New Zealand is often cited as an example of a market that successfully separates physical operations from the market, because the Energy Market Company (EMCO) is separate from the system operator (Transpower).  In reality, however, EMCO does little except send market bid and offer data to Transpower a few hours before real time and then manage settlements based on price and quantity data it gets back from Transpower after the fact.  In between, Transpower uses the bid/offer data and operational data to operate an integrated dispatch/spot market process that determines physical system operations and </w:t>
      </w:r>
      <w:r>
        <w:rPr>
          <w:i/>
        </w:rPr>
        <w:t>ex post</w:t>
      </w:r>
      <w:r>
        <w:rPr/>
        <w:t xml:space="preserve"> locational marginal prices (LMPs), much as PJM does.  Far from being a counterexample, New Zealand’s success is yet additional evidence of the need for an integrated, LMP-based dispatch/spot market process that manages physical operations efficiently based on market data and determines market prices based on reflect physical operations.</w:t>
      </w:r>
    </w:p>
    <w:p>
      <w:pPr>
        <w:pStyle w:val="Normal"/>
        <w:rPr/>
      </w:pPr>
      <w:r>
        <w:rPr/>
        <w:t>The most prominent – or even the only surviving – possible alternative to a LMP-based market is a “flowgate” market.  This is not the place to review the debate about the relative merits of flowgate and LMP-based markets, except to note that even advocates of flowgate markets have largely given up trying to design a “pure” flowgate market in which the RTO would not operate even a real-time market.  Most of the RTOs that are still hoping to develop a flowgate market – e.g., the Alliance, MISO and SPP – are now searching for a “hybrid” in which forward trading would be based on flowgates but real-time operations would be managed by the RTO using LMP.  Whatever the prospects or merits of such a hybrid market – and many analysts, including myself, predict that flowgates will ultimately prove unworkable or at least not worth the trouble even as part of a hybrid – it is clear that even a hybrid would require the RTO to operate an integrated dispatch/spot market process in real time.</w:t>
      </w:r>
    </w:p>
    <w:p>
      <w:pPr>
        <w:pStyle w:val="Normal"/>
        <w:rPr/>
      </w:pPr>
      <w:r>
        <w:rPr/>
        <w:t>The successes of LMP-based markets (e.g., in PJM and New Zealand), and the failures of alternatives in operation (e.g., California) and even in theory (e.g., pure flowgates), strongly suggest that it is time for the Commission to tell RTOs to get on with the job of designing and implementing LMP-based markets.  These need not be carbon copies of PJM, although this would certainly be a reasonable place to start. If and when somebody finds a way to manage real-time operations efficiently and produce market prices that reflect reality that does not require a LMP-based real-time market, RTOs can move to that alternative.  But in the meantime, RTOs should stop wandering in the wilderness in search of a probably mythical alternative to LMP-based markets, and start implementing some version of the market model that has proven its ability to facilitate effective and efficient competition in electricity for the benefit of consumers.</w:t>
      </w:r>
    </w:p>
    <w:p>
      <w:pPr>
        <w:pStyle w:val="Heading2"/>
        <w:ind w:hanging="0" w:start="0"/>
        <w:rPr/>
      </w:pPr>
      <w:bookmarkStart w:id="17" w:name="__RefHeading___Toc529045748"/>
      <w:bookmarkEnd w:id="17"/>
      <w:r>
        <w:rPr/>
        <w:t>The  Operation  of  LMP-Based  Markets</w:t>
      </w:r>
    </w:p>
    <w:p>
      <w:pPr>
        <w:pStyle w:val="Normal"/>
        <w:rPr/>
      </w:pPr>
      <w:r>
        <w:rPr/>
        <w:t>Like any democratic system, any LMP-based market can be improved – and should be and usually is as soon as there is general agreement about which specific changes will actually improve it.  Not even the strongest advocates of LMP-based markets think that any existing market – not even PJM – is perfect.  But the perfect is the enemy of the good in this business.  The advantages of getting on with the implementation of some proven, standardized model already outweigh any benefits of delaying implementation in order to allow more time for discussion and experimentation.  The Commission could do much worse than choose PJM as the default model to be adopted by all RTOs, with incremental changes allowed if they will improve or at least not clearly degrade performance of the RTO itself and of inter-RTO trading.</w:t>
      </w:r>
    </w:p>
    <w:p>
      <w:pPr>
        <w:pStyle w:val="Normal"/>
        <w:rPr/>
      </w:pPr>
      <w:r>
        <w:rPr/>
        <w:t>The principal criticism of PJM, and of LMP-based markets in general, is that LMPs are too complex, volatile and unpredictable and that this discourages commercial operations and trading.  Unfortunately, it is a fact of life that reality on a complex electricity system is complex, volatile and unpredictable, so prices that reasonably reflect reality will also be complex, volatile and unpredictable.  The RTO can and should help market participants deal with this complexity by working with them to define some trading hubs and integrating these into its settlement process.  But to go further and actually make settlement prices simple, stable and predictable, the RTO would have to bear the costs and risks of buying and selling at artificial prices that do not reflect the actual costs caused by physical reality.  This is always possible, as long as the RTO is allowed to recover its costs through a tax or uplift on all system users or to earn enough profit (presumably through a highly capitalized Transco) that it can afford to assume the risks itself.  But either way, the RTO would be providing socialized risk management and suppressing price information for all system users whether they want it or not, which is incompatible with efficient and effective competition.</w:t>
      </w:r>
    </w:p>
    <w:p>
      <w:pPr>
        <w:pStyle w:val="Normal"/>
        <w:rPr/>
      </w:pPr>
      <w:r>
        <w:rPr/>
        <w:t>One of the principal reasons for creating a competitive electricity market is to end the large-scale cost socialization and price suppression that is inherent in regulated monopoly utilities, with their obligation to serve and associated right to recover all prudent costs from captive consumers using highly-averaged tariff rates.  By definition, moving to a market means that each system user or supplier will pay or be paid prices that more closely reflect the true costs of what it uses or supplies.  Also by definition, the more efficient the market, the more accurately its prices will differentiate products and services, and times and places, for which costs and values are different.  In the limit, electricity – the commodity and each category of operating reserve and ancillary service – will have a different price at each electrically distinct node on the system and in each minute (or so), because location and time matter down to those levels on a complex physical electricity system.</w:t>
      </w:r>
    </w:p>
    <w:p>
      <w:pPr>
        <w:pStyle w:val="Normal"/>
        <w:rPr/>
      </w:pPr>
      <w:r>
        <w:rPr/>
        <w:t>Those who say that the RTO should provide a physical market in which market participants can buy and sell electricity without such fine price distinctions are saying that the RTO should socialize costs and suppress price information much as the old integrated monopolies did.  There may be good reason to socialize risks and suppress price information for small consumers who are less able to deal with and less likely to respond to accurate price signals, as even PJM does by averaging nodal prices across zones for loads.  And some cost socialization and price suppression are inevitable even in the wholesale market; that is what half-hourly or hourly prices, operating reserves and ancillary services do.  But participants in the wholesale electricity market are supposed to be big boys and girls who can and should manage their own costs and risks by some combination of adjusting their physical actions in response to prices in the physical market, and buying price insurance to protect themselves from those prices.</w:t>
      </w:r>
    </w:p>
    <w:p>
      <w:pPr>
        <w:pStyle w:val="Normal"/>
        <w:rPr/>
      </w:pPr>
      <w:r>
        <w:rPr/>
        <w:t>The more accurately prices in the physical market reflect physical realities, the more the market, rather than arbitrary interventions by the RTO, can be relied upon to determine short-run operations and long-term investments.  Conversely, to the extent the RTO socializes price risks and suppresses price information in the physical market, market responses will not reflect reality and the RTO will have to intervene in the market, first to disrupt short-term actions – e.g., using transmission loading relief (TLR) actions to interrupt market transactions – and eventually to disrupt long-term investment plans – e.g., telling generators that they cannot locate where they want to or subsidizing them to locate where the RTO wants them to.  Unless prices in the physical market reasonably reflect reality, the RTO will have to intervene in the market more and more over time, decreasing the efficiency and effectiveness of competition and perhaps ultimately making it impossible.</w:t>
      </w:r>
    </w:p>
    <w:p>
      <w:pPr>
        <w:pStyle w:val="Heading2"/>
        <w:ind w:hanging="0" w:start="0"/>
        <w:rPr/>
      </w:pPr>
      <w:bookmarkStart w:id="18" w:name="__RefHeading___Toc529045749"/>
      <w:bookmarkEnd w:id="18"/>
      <w:r>
        <w:rPr/>
        <w:t>RTO-Operated  Hour-Ahead  and  Day-Ahead  Markets</w:t>
      </w:r>
    </w:p>
    <w:p>
      <w:pPr>
        <w:pStyle w:val="Normal"/>
        <w:rPr/>
      </w:pPr>
      <w:r>
        <w:rPr/>
        <w:t>It is essentially impossible even in concept for anybody other than the RTO to operate the real-time markets that are necessary to manage operations efficiently and to determine prices that accurately reflect operational reality.  It is logically possible for the RTO to operate real-time physical markets without also operating very-short-term – i.e., hour-ahead or day-ahead – markets, as the equivalent of RTOs now do in some successful markets, such as Australia and New Zealand.  But given that the RTO must operate the real-time markets, RTO-operated hour-ahead and/or day-ahead markets cost little and can be useful to the RTO for operational purposes and to market participants for commercial reasons, particularly if these markets are integrated with generation unit commitment processes.</w:t>
      </w:r>
    </w:p>
    <w:p>
      <w:pPr>
        <w:pStyle w:val="Normal"/>
        <w:rPr/>
      </w:pPr>
      <w:r>
        <w:rPr/>
        <w:t>The RTO will need some advance information for operational planning anyway, and its real-time market will have procedures and systems for collecting information, determining prices, managing settlements, etc.  Given the economies of scope and scale in handling information and operating markets, there is little incremental cost involved in expanding the RTO’s procedures and systems to include hour-ahead or day-ahead trading.  Private marketers and exchange operators tend to regard such RTO-provided forward markets as unfair competition, but creating business opportunities for middlemen – i.e., transactions costs for market participants – is not one of the objectives of the Commission’s RTO policies.  If the RTO can provide incremental services at incremental costs that market participants find attractive, those services are part of the RTO’s natural monopoly and should be provided.</w:t>
      </w:r>
    </w:p>
    <w:p>
      <w:pPr>
        <w:pStyle w:val="Normal"/>
        <w:rPr/>
      </w:pPr>
      <w:r>
        <w:rPr/>
        <w:t>An RTO-operated day-ahead  short-term market can be particularly valuable if it is integrated with a unit commitment service, as it is in PJM.  Such an integrated process allows – but does not require – any generator to offer to commit its unit a day ahead, and to provide energy and/or R&amp;AS at defined prices over the next day, in exchange for an RTO payment toward the unit’s start-up costs.  The RTO selects the offers that are likely to reduce the total cost of meeting demand reliably over the following day and guarantees the offerers that (if they perform) they will be paid at least the amount they said they needed in order to justify starting up.  If market prices do not provide this much money, the RTO makes up the difference and recovers its costs from loads (who presumably benefited from lower prices because this unit was committed).  Such a process requires the RTO to make some market projections and take some risks on behalf of buyers in the market, which inherently involves some socialization of costs and risks by the RTO.</w:t>
      </w:r>
    </w:p>
    <w:p>
      <w:pPr>
        <w:pStyle w:val="Normal"/>
        <w:rPr/>
      </w:pPr>
      <w:r>
        <w:rPr/>
        <w:t>As stated above, RTO-operated short-term markets – as opposed to real-time markets integrated with physical operations – are not strictly necessary to assure reliable and efficient real-time operations and market prices that reflect operational realities.  Such markets should be offered by any RTO only if their value to the RTO for operational purposes and to market participants for commercial purposes is enough to justify their costs.  In principle, each RTO should be free to decide for itself, in consultation with its stakeholders, what type of forward markets, if any, it will operate.  But if RTOs decide to offer very different trading arrangements, trading among RTO markets could be impeded or distorted.  In this case, the Commission may need to prescribe or proscribe certain types of RTO-operated markets.</w:t>
      </w:r>
    </w:p>
    <w:p>
      <w:pPr>
        <w:pStyle w:val="Normal"/>
        <w:rPr/>
      </w:pPr>
      <w:r>
        <w:rPr/>
        <w:t>For example, a PJM-type forward market/unit commitment service is a form of socialized risk management or price suppression, in the sense that the RTO “taxes” consumers in order to make payments to some generators that reduce the level and volatility of real-time prices.  If some RTOs offer such a market/service and others do not, real-time prices in RTOs with the same economic fundamentals may differ purely because of the different forward market/unit commitment arrangements.  Whether such an effect would be large enough to matter cannot be determined without theoretical and quantitative analysis that has not been done (as far as I know).  But if it is important, it may be necessary for the Commission to require all RTOs to agree to offer the same type of forward market/unit commitment service – or none at all.</w:t>
      </w:r>
    </w:p>
    <w:p>
      <w:pPr>
        <w:pStyle w:val="Heading2"/>
        <w:ind w:hanging="0" w:start="0"/>
        <w:rPr/>
      </w:pPr>
      <w:bookmarkStart w:id="19" w:name="__RefHeading___Toc529045750"/>
      <w:bookmarkEnd w:id="19"/>
      <w:r>
        <w:rPr/>
        <w:t>Capacity  Obligations,  Payments  and  Markets</w:t>
      </w:r>
    </w:p>
    <w:p>
      <w:pPr>
        <w:pStyle w:val="Normal"/>
        <w:rPr/>
      </w:pPr>
      <w:r>
        <w:rPr/>
        <w:t>Whether or not RTOs should use capacity obligations, payments or markets to assure adequate generation capacity is the subject of a current Commission proceeding and hence is not discussed substantively here.</w:t>
      </w:r>
      <w:r>
        <w:rPr>
          <w:rStyle w:val="FootnoteCharacters"/>
          <w:rStyle w:val="FootnoteReference"/>
        </w:rPr>
        <w:footnoteReference w:id="15"/>
      </w:r>
      <w:r>
        <w:rPr/>
        <w:t xml:space="preserve">  The capacity issue is important here, however, because it bears directly on the question of whether the Commission should be more prescriptive about RTO market arrangements.</w:t>
      </w:r>
    </w:p>
    <w:p>
      <w:pPr>
        <w:pStyle w:val="Normal"/>
        <w:rPr/>
      </w:pPr>
      <w:r>
        <w:rPr/>
        <w:t>A capacity obligation or payment is a form of socialized risk management that is qualitatively similar to the unit-commitment payments discussed in the preceding section, but is potentially much more important.  If some RTOs require their LSEs to provide or pay for generation capacity for the benefit of all buyers in the RTO, but other RTOs do not, real-time prices across RTOs with similar economic fundamentals could differ significantly purely because of different capacity rules.  It will probably be necessary for the Commission to define a standard approach to capacity obligations or payments across all RTOs.</w:t>
      </w:r>
    </w:p>
    <w:p>
      <w:pPr>
        <w:pStyle w:val="Heading1"/>
        <w:ind w:hanging="0" w:start="0"/>
        <w:rPr/>
      </w:pPr>
      <w:bookmarkStart w:id="20" w:name="__RefHeading___Toc529045751"/>
      <w:bookmarkEnd w:id="20"/>
      <w:r>
        <w:rPr/>
        <w:t>THE  STRUCTURE  OF  RTO</w:t>
      </w:r>
      <w:r>
        <w:rPr>
          <w:caps w:val="false"/>
          <w:smallCaps w:val="false"/>
        </w:rPr>
        <w:t>s</w:t>
      </w:r>
    </w:p>
    <w:p>
      <w:pPr>
        <w:pStyle w:val="Normal"/>
        <w:rPr/>
      </w:pPr>
      <w:r>
        <w:rPr/>
        <w:t>The most critical function of RTOs is to operate an open and efficient integrated dispatch/spot market process that provides and prices physical balancing and transmission services, prices congestion and loop flows, works with market participants to define trading hubs, and provides the mechanism for defining and administering FTRs.  The most critical feature of any RTO structure is that the independent system/market operator – the IS/MO – that operates the integrated dispatch/spot market process be independent of any entities that are affected commercially by the operational or pricing outcomes of this process.</w:t>
      </w:r>
    </w:p>
    <w:p>
      <w:pPr>
        <w:pStyle w:val="Heading2"/>
        <w:ind w:hanging="0" w:start="0"/>
        <w:rPr/>
      </w:pPr>
      <w:bookmarkStart w:id="21" w:name="__RefHeading___Toc529045752"/>
      <w:bookmarkEnd w:id="21"/>
      <w:r>
        <w:rPr/>
        <w:t>The  Need  for  Independence</w:t>
      </w:r>
    </w:p>
    <w:p>
      <w:pPr>
        <w:pStyle w:val="Normal"/>
        <w:rPr/>
      </w:pPr>
      <w:r>
        <w:rPr/>
        <w:t>It has long been understood, and has long been Commission policy, that the IS/MO and the RTO of which it is a part must be independent of any competitors in the electricity markets.  If the IS/MO or RTO were affiliated with generators affected by dispatch decisions, or with marketers affected by prices in the physical market, the IS/MO would have so many subtle ways to favor its affiliates over other competitors that regulators would never be able to assure themselves or market participants that the dispatch/market process was fair and nondiscriminatory.  Efficient and effective competition for the benefit of consumers would be impossible if the IS/MO and RTO were affiliated with commercial entities affected by IS/MO actions and policies.</w:t>
      </w:r>
    </w:p>
    <w:p>
      <w:pPr>
        <w:pStyle w:val="Normal"/>
        <w:rPr/>
      </w:pPr>
      <w:r>
        <w:rPr/>
        <w:t>What has been less understood, and less clear in Commission policy, is how the RTO’s IS/MO functions can or cannot be associated with the owners of the transmission facilities within the RTO.  There are two logical but very different answers to this question:  (1) the grid should be owned by a profit-making “Transco” that is also the IS/MO, so that the combined entity can be given strong profit incentives to maximize the efficiency of overall system and grid operations; and (2) the IS/MO should be totally separated from any grid owners for the same reason that the RTO must be separate from any generators and marketers – because the commercial fortunes of grid owners depend strongly on the outcome of the processes operated by the IS/MO.  While either of these arrangements might be made to work in principle, as a practical matter only the second provides the independence required to assure efficient and effective competition for the benefit of consumers.</w:t>
      </w:r>
    </w:p>
    <w:p>
      <w:pPr>
        <w:pStyle w:val="Heading2"/>
        <w:ind w:hanging="0" w:start="0"/>
        <w:rPr/>
      </w:pPr>
      <w:bookmarkStart w:id="22" w:name="__RefHeading___Toc529045753"/>
      <w:bookmarkEnd w:id="22"/>
      <w:r>
        <w:rPr/>
        <w:t>Regulating  Transcos</w:t>
      </w:r>
    </w:p>
    <w:p>
      <w:pPr>
        <w:pStyle w:val="Normal"/>
        <w:rPr/>
      </w:pPr>
      <w:r>
        <w:rPr/>
        <w:t>The Commission has – at least until very recently – generally endorsed the “Transco” concept, in which a single and presumably profit-making entity would own the grid assets and manage real-time physical operations.  The logic of this position is based on the proposition that separating grid ownership and operations from system operations creates two entities that will find it difficult to cooperate and coordinate as closely they should in real-time operations and in longer-term planning, and for whom it will be difficult to define effective individual performance incentives, both because of the complexity of the interactions between them and because a stand-alone system operator is a poorly capitalized and usually non-profit bureaucracy.  Combining the Gridco and IS/MO functions into a highly capitalized, profit-making Transco simplifies coordination between them, eliminates the ambiguity about which is responsible for what and – so it is said – makes it possible to define effective financial performance incentives.</w:t>
      </w:r>
    </w:p>
    <w:p>
      <w:pPr>
        <w:pStyle w:val="Normal"/>
        <w:rPr/>
      </w:pPr>
      <w:r>
        <w:rPr/>
        <w:t>The above arguments for a Transco, while not illogical, have always been less than fully persuasive given the practical realities of regulation.  It is certainly true that it is difficult to coordinate between and provide effective incentives for separate system operating and grid owning/operating entities.  But it is far from clear, and is probably not the case, that combining these two functions really solves these problems or does so without creating larger ones including conflicts of interest within the combined entity, particularly once it is recognized that the system operator must also operate physical markets.</w:t>
      </w:r>
    </w:p>
    <w:p>
      <w:pPr>
        <w:pStyle w:val="Normal"/>
        <w:rPr/>
      </w:pPr>
      <w:r>
        <w:rPr/>
        <w:t>Incentive regulation has not been dramatically effective anywhere, but works best where it is possible to define relatively simple measures of a monopoly’s performance, such as an average price for a standard commodity.  There are no simple measures of a Transco’s performance given the many factors that influence system efficiency but are outside the Transco’s control, such as fuel prices and the actions of generators.  Suggestions to measure a Transco’s performance by such things as “throughput” illustrate the point:  an entity given financial incentives to move energy around a grid may find ways to do so that have no real benefits to anybody and even increase system costs.</w:t>
      </w:r>
    </w:p>
    <w:p>
      <w:pPr>
        <w:pStyle w:val="Normal"/>
        <w:rPr/>
      </w:pPr>
      <w:r>
        <w:rPr/>
        <w:t>Defining meaningful performance measures for a complex monopoly generally requires unbundling the monopoly into its various functions and services.  But the obvious first division to make within a Transco is between the grid owner/operator and the system operator.  In the end, regulating a Transco may not be any easier than, or even not fundamentally different than, regulating a separate system operator and Gridco.</w:t>
      </w:r>
    </w:p>
    <w:p>
      <w:pPr>
        <w:pStyle w:val="Normal"/>
        <w:rPr/>
      </w:pPr>
      <w:r>
        <w:rPr/>
        <w:t>Perhaps the most serious problem with the Transco concept is that a Transco would make most of its money from its ownership of grid assets, and hence would have strong incentives to use its system operation and planning functions to maximize the value of its grid assets.  A Transco would have many ways to do this, e.g., operating the system in ways that increase “throughput” or decrease losses but increase generation costs, creating apparent congestion that justifies grid expansions, or performing planning studies that emphasize grid solutions over generation solutions.  In principle, the bias toward grid investment could be eliminated by rewarding a Transco based on overall system performance over long time horizons, e.g., the discounted value of congestion costs over thirty years.  In practice, this is impossible.  A Transco would be an opaque monopoly that controls most of the information and the processes needed to evaluate its own performance and to make grid investment decisions.  Trying to control a Transco’s conflicts of interest would require a degree of regulatory oversight and control that would be disruptive and ultimately ineffective.</w:t>
      </w:r>
    </w:p>
    <w:p>
      <w:pPr>
        <w:pStyle w:val="Normal"/>
        <w:rPr/>
      </w:pPr>
      <w:r>
        <w:rPr/>
        <w:t>NGC in England and Wales is a profit-making – and highly profitable – Transco that seems to work reasonably well, at least in the sense that the British do not seem unhappy with NGC’s performance.  For example, when NGC was given profit incentives to reduce the uplift that covered congestion and other costs in the old Pool, it was able to do so quite effectively – and profitably.  But NGC is a powerful and opaque monolith that takes many decisions without much stakeholder involvement or regulatory oversight.  British political and regulatory traditions and practices are much more tolerant of such monopolies – and their high profits – than are US traditions and practices, so it is not clear the same arrangements would work here.  How NGC will function and be perceived under NETA, which requires NGC to play an even larger role in the market (while nominally not operating any markets, only the BM, remains to be seen.</w:t>
      </w:r>
    </w:p>
    <w:p>
      <w:pPr>
        <w:pStyle w:val="Normal"/>
        <w:rPr/>
      </w:pPr>
      <w:r>
        <w:rPr/>
        <w:t>In most U.S. Transco proposals, the Transco would operate the physical system but would not operate any markets.  If it were possible to operate the physical system efficiently without using any markets, the problems of regulating a Transco might be manageable.  But for the reasons outlined above, system operations must be integrated with the physical market in order for competition to be effective and efficient for the benefit of consumers, and hence any reasonably efficient Transco would have to operate some markets, if only a highly efficient balancing “mechanism” as used by NGC in the UK’s NETA.  And a Transco that operates markets would have even more ways to bias operations and planning in its own interests, including a stronger monopoly on the information needed to evaluate its own performance and to make planning decisions affecting its own value.</w:t>
      </w:r>
    </w:p>
    <w:p>
      <w:pPr>
        <w:pStyle w:val="Normal"/>
        <w:rPr/>
      </w:pPr>
      <w:r>
        <w:rPr/>
        <w:t>If a Transco operates markets, market participants – and the Commission – will legitimately want to have a large say in how those markets are designed and operated; in New Zealand, for example, the Transco (Transpower) must operate the market and the system according to rules and procedures defined by the Energy Market Company (EMCO).  But a Transco cannot be held responsible for system operations if these are largely determined by a physical market designed by others.  NETA in England and Wales tries to solve this problem by giving NGC a lot of flexibility in operating the BM, contracting with generators, making grid investments, etc., with little oversight or interference by market participants or regulators; whatever the merits of this approach, it is unlikely to be acceptable or viable in the United States.</w:t>
      </w:r>
    </w:p>
    <w:p>
      <w:pPr>
        <w:pStyle w:val="Heading2"/>
        <w:ind w:hanging="0" w:start="0"/>
        <w:rPr/>
      </w:pPr>
      <w:bookmarkStart w:id="23" w:name="__RefHeading___Toc529045754"/>
      <w:bookmarkEnd w:id="23"/>
      <w:r>
        <w:rPr/>
        <w:t>Separating  the  IS/MO  from  Gridco(s)</w:t>
      </w:r>
    </w:p>
    <w:p>
      <w:pPr>
        <w:pStyle w:val="Normal"/>
        <w:rPr/>
      </w:pPr>
      <w:r>
        <w:rPr/>
        <w:t>After considering the problems of regulating and motivating a Transco, with its inherent conflicts of interest, the problems of regulating and motivating an IS/MO that is separate from any Gridcos may not seem so bad.  An IS/MO unaffiliated with Gridcos has no incentive to bias operations or planning toward grid solutions, knows how the system operates and what its real problems and constraints are, is a natural entity to evaluate grid expansions options and compare them to generation options, etc.  It is never easy to control and motivate monopolies in the public or consumer interest, but the first step in doing so is to unbundle functions as far as practical into separately regulated entities, as an RTO with separate IS/MO and Gridco entities does.  On balance, this is probably the best way to structure an RTO.</w:t>
      </w:r>
    </w:p>
    <w:p>
      <w:pPr>
        <w:pStyle w:val="Heading1"/>
        <w:ind w:hanging="0" w:start="0"/>
        <w:rPr/>
      </w:pPr>
      <w:bookmarkStart w:id="24" w:name="__RefHeading___Toc529045755"/>
      <w:bookmarkEnd w:id="24"/>
      <w:r>
        <w:rPr/>
        <w:t>CONCLUSIONS</w:t>
      </w:r>
    </w:p>
    <w:p>
      <w:pPr>
        <w:pStyle w:val="Normal"/>
        <w:rPr/>
      </w:pPr>
      <w:r>
        <w:rPr/>
        <w:t xml:space="preserve">Whatever else the Commission may require of RTOs, it should require that they operate a physical market integrated with system operations – an IS/MO – that uses LMP to price imbalances, congestion and loop flow, and to define and administer FTRs.  The resulting prices will give market participants incentives to manage their own short-term operations and long-term investments in ways that increase rather than decrease system efficiency and competitiveness.  The RTO can and should facilitate trading by working with market participants to define market hubs and integrate these into its settlement processes.  Whether an RTO also operates PJM-type day-ahead markets and/or unit commitment process can be left largely up to each RTO to decide for itself, as long as such independent decisions do not adversely affect the efficiency of inter-RTO trading.  If some RTOs want to or private market makers want to create forward markets based on flowgates or something else, they should be free to (try to) do so.  </w:t>
      </w:r>
      <w:r>
        <w:rPr>
          <w:u w:val="single"/>
        </w:rPr>
        <w:t xml:space="preserve">But the </w:t>
      </w:r>
      <w:r>
        <w:rPr>
          <w:i/>
          <w:u w:val="single"/>
        </w:rPr>
        <w:t>sine qua non</w:t>
      </w:r>
      <w:r>
        <w:rPr>
          <w:u w:val="single"/>
        </w:rPr>
        <w:t xml:space="preserve"> of effective and efficient competition for the benefit of consumers is an efficient physical market integrated with physical operations.</w:t>
      </w:r>
    </w:p>
    <w:p>
      <w:pPr>
        <w:pStyle w:val="Normal"/>
        <w:rPr/>
      </w:pPr>
      <w:r>
        <w:rPr/>
        <w:t>Prices in the IS/MO’s physical markets should be as volatile as necessary to reflect physical reality.  Volatility will encourage the development of risk-management instruments and trading venues that will allow market participants to buy as much price insurance as they individually choose.  Retail regulators at the state level can protect small consumers from such volatility if they choose to do.  But if the RTO provides socialized risk management and suppresses price signals by using simplified pricing at the wholesale level, such market and state-level regulatory options will be precluded and system efficiency will decline.</w:t>
      </w:r>
    </w:p>
    <w:p>
      <w:pPr>
        <w:pStyle w:val="Normal"/>
        <w:rPr/>
      </w:pPr>
      <w:r>
        <w:rPr/>
        <w:t>An RTO’s IS/MO function should be separate from any grid owners.  That is, RTOs should not be Transcos, because Transcos create intractable regulatory problems and conflicts of interest.  If the IS/MO is affiliated with any grid owners, there should be impermeable walls between the IS/MO and grid operators/owners.  But the best solution is to make the IS/MO independent of any grid owners, for the same reasons that the RTO must be independent of any participants in the competitive market.</w:t>
      </w:r>
    </w:p>
    <w:p>
      <w:pPr>
        <w:pStyle w:val="Normal"/>
        <w:spacing w:before="0" w:after="240"/>
        <w:rPr/>
      </w:pPr>
      <w:r>
        <w:rPr/>
      </w:r>
    </w:p>
    <w:sectPr>
      <w:footerReference w:type="default" r:id="rId2"/>
      <w:footnotePr>
        <w:numFmt w:val="decimal"/>
      </w:footnotePr>
      <w:type w:val="nextPage"/>
      <w:pgSz w:w="12240" w:h="15840"/>
      <w:pgMar w:left="180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9pt;mso-position-horizontal:center;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120"/>
        <w:ind w:hanging="360" w:start="360" w:end="0"/>
        <w:rPr/>
      </w:pPr>
      <w:r>
        <w:rPr>
          <w:rStyle w:val="FootnoteCharacters"/>
        </w:rPr>
        <w:footnoteRef/>
      </w:r>
      <w:r>
        <w:rPr/>
        <w:t xml:space="preserve"> </w:t>
      </w:r>
      <w:r>
        <w:rPr/>
        <w:tab/>
        <w:t>This fundamental objective is based on a constructive interpretation of the Commission’s language in Order 2000.  See section 2 below.</w:t>
      </w:r>
    </w:p>
  </w:footnote>
  <w:footnote w:id="3">
    <w:p>
      <w:pPr>
        <w:pStyle w:val="FootnoteText"/>
        <w:spacing w:lineRule="auto" w:line="240" w:before="0" w:after="120"/>
        <w:ind w:hanging="360" w:start="360" w:end="0"/>
        <w:rPr/>
      </w:pPr>
      <w:r>
        <w:rPr>
          <w:rStyle w:val="FootnoteCharacters"/>
        </w:rPr>
        <w:footnoteRef/>
      </w:r>
      <w:r>
        <w:rPr/>
        <w:t xml:space="preserve"> </w:t>
      </w:r>
      <w:r>
        <w:rPr/>
        <w:tab/>
        <w:t>Perhaps one should not entirely rule out the possibility that the RTO could use a market operated by some other entity to manage and price physical operations.  But nobody has yet described a plausible way to do this even in concept, and every attempt to split physical operations from the market has failed.  The most notable failure was in California, where the infamous ISO/PX split worked so badly that the Commission called its congestion management process “fundamentally flawed.”</w:t>
      </w:r>
    </w:p>
  </w:footnote>
  <w:footnote w:id="4">
    <w:p>
      <w:pPr>
        <w:pStyle w:val="FootnoteText"/>
        <w:spacing w:lineRule="auto" w:line="240" w:before="0" w:after="120"/>
        <w:ind w:hanging="360" w:start="360" w:end="0"/>
        <w:rPr/>
      </w:pPr>
      <w:r>
        <w:rPr>
          <w:rStyle w:val="FootnoteCharacters"/>
        </w:rPr>
        <w:footnoteRef/>
      </w:r>
      <w:r>
        <w:rPr/>
        <w:t xml:space="preserve"> </w:t>
      </w:r>
      <w:r>
        <w:rPr/>
        <w:t>The term “IS/MO” is used here to refer explicitly to ISOs that operate an open and (as far as practical) efficient integrated dispatch/spot market process.  The most successful of the entities that are explicitly called ISOs, such as the ISOs in PJM, New York and New England, are “IS/MOs” in this sense, as are other successful entities that are not called ISOs, such as Transpower in New Zealand.  Some entities called ISOs might (try to) operate no markets or only deliberately restricted and inefficient markets, and are not IS/MOs in the sense used here (e.g. the California ISO).</w:t>
      </w:r>
    </w:p>
  </w:footnote>
  <w:footnote w:id="5">
    <w:p>
      <w:pPr>
        <w:pStyle w:val="FootnoteText"/>
        <w:spacing w:lineRule="auto" w:line="240" w:before="0" w:after="120"/>
        <w:ind w:hanging="360" w:start="360" w:end="0"/>
        <w:rPr/>
      </w:pPr>
      <w:r>
        <w:rPr>
          <w:rStyle w:val="FootnoteCharacters"/>
        </w:rPr>
        <w:footnoteRef/>
      </w:r>
      <w:r>
        <w:rPr/>
        <w:t xml:space="preserve"> </w:t>
      </w:r>
      <w:r>
        <w:rPr/>
        <w:tab/>
        <w:t>Order 2000, at p. 3.</w:t>
      </w:r>
    </w:p>
  </w:footnote>
  <w:footnote w:id="6">
    <w:p>
      <w:pPr>
        <w:pStyle w:val="FootnoteText"/>
        <w:spacing w:lineRule="auto" w:line="240" w:before="0" w:after="120"/>
        <w:ind w:hanging="360" w:start="360" w:end="0"/>
        <w:rPr/>
      </w:pPr>
      <w:r>
        <w:rPr>
          <w:rStyle w:val="FootnoteCharacters"/>
        </w:rPr>
        <w:footnoteRef/>
      </w:r>
      <w:r>
        <w:rPr/>
        <w:t xml:space="preserve"> </w:t>
      </w:r>
      <w:r>
        <w:rPr/>
        <w:tab/>
        <w:t>This is not quite true, because system operators can use different security standards under different conditions, e.g., can go from a N-1 to an N-2 standard when thunderstorms in the region increase the probability that two lines can fail at once.</w:t>
      </w:r>
    </w:p>
  </w:footnote>
  <w:footnote w:id="7">
    <w:p>
      <w:pPr>
        <w:pStyle w:val="FootnoteText"/>
        <w:spacing w:lineRule="auto" w:line="240" w:before="0" w:after="120"/>
        <w:ind w:hanging="360" w:start="360" w:end="0"/>
        <w:rPr/>
      </w:pPr>
      <w:r>
        <w:rPr>
          <w:rStyle w:val="FootnoteCharacters"/>
        </w:rPr>
        <w:footnoteRef/>
      </w:r>
      <w:r>
        <w:rPr/>
        <w:t xml:space="preserve"> </w:t>
      </w:r>
      <w:r>
        <w:rPr/>
        <w:tab/>
        <w:t>Multiple locations on an electricity grid are electrically equivalent and hence can be combined into a single “zone” for operational and (efficient) pricing purposes only if energy injected onto the grid at any of these locations has the same effect on all potentially binding constraints on the grid.  Strictly speaking, this will be the case only if there are no binding constraints between any of the locations in the zone and there is no more than one link (constrained or not) from the zone to the rest of the grid – a so-called “radial” connection.  In general, a single binding transmission constraint anywhere on a network can make every location electrically distinct, because energy injected at any locations will have a different effect on that single constraint.</w:t>
      </w:r>
    </w:p>
  </w:footnote>
  <w:footnote w:id="8">
    <w:p>
      <w:pPr>
        <w:pStyle w:val="FootnoteText"/>
        <w:spacing w:lineRule="auto" w:line="240" w:before="0" w:after="120"/>
        <w:ind w:hanging="360" w:start="360" w:end="0"/>
        <w:rPr/>
      </w:pPr>
      <w:r>
        <w:rPr>
          <w:rStyle w:val="FootnoteCharacters"/>
        </w:rPr>
        <w:footnoteRef/>
      </w:r>
      <w:r>
        <w:rPr/>
        <w:t xml:space="preserve"> </w:t>
      </w:r>
      <w:r>
        <w:rPr/>
        <w:tab/>
        <w:t>This is not the place to review the flowgate theory of congestion management or the debate about the accuracy of the basic assumptions of that theory.  Suffice it to say that if the flowgate assumptions are accurate (and flowgate trading really has any advantages to system users), a system of private FGRs as suggested in the text would be relatively easy to create.  Conversely, if the flowgate assumptions are not accurate, a system of private FGRs backed by FTRs would create commercially untenable risks for the private seller of FGRs.  But if the flowgate assumptions are not accurate, a system of RTO-issued FGRs would require the RTO to bear and/or socialize large risks.  The market-oriented approach is for the RTO to issue point-to-point FTRs that reflect physical reality and hence involve relatively little risk for the RTO, and let private traders use these to back any simplified derivatives they choose.</w:t>
      </w:r>
    </w:p>
  </w:footnote>
  <w:footnote w:id="9">
    <w:p>
      <w:pPr>
        <w:pStyle w:val="FootnoteText"/>
        <w:spacing w:lineRule="auto" w:line="240" w:before="0" w:after="120"/>
        <w:ind w:hanging="360" w:start="360" w:end="0"/>
        <w:rPr/>
      </w:pPr>
      <w:r>
        <w:rPr>
          <w:rStyle w:val="FootnoteCharacters"/>
        </w:rPr>
        <w:footnoteRef/>
      </w:r>
      <w:r>
        <w:rPr/>
        <w:t xml:space="preserve"> </w:t>
      </w:r>
      <w:r>
        <w:rPr/>
        <w:tab/>
        <w:t>For example, there is now little or no trading in reserve and ancillary service (R&amp;AS) hedges even in the best markets (e.g., PJM), because physical R&amp;AS markets are inefficient.  In most cases, the RTO (or equivalent) buys R&amp;AS from generators and recovers its costs through an uplift paid by load-serving entities (LSEs), with the correlation between prices paid to generators and the uplift paid by LSEs too weak to make trading in R&amp;AS hedges commercially practical.</w:t>
      </w:r>
    </w:p>
  </w:footnote>
  <w:footnote w:id="10">
    <w:p>
      <w:pPr>
        <w:pStyle w:val="FootnoteText"/>
        <w:spacing w:lineRule="auto" w:line="240" w:before="0" w:after="120"/>
        <w:ind w:hanging="360" w:start="360" w:end="0"/>
        <w:rPr/>
      </w:pPr>
      <w:r>
        <w:rPr>
          <w:rStyle w:val="FootnoteCharacters"/>
        </w:rPr>
        <w:footnoteRef/>
      </w:r>
      <w:r>
        <w:rPr/>
        <w:t xml:space="preserve"> </w:t>
      </w:r>
      <w:r>
        <w:rPr/>
        <w:tab/>
        <w:t>Order 2000, at pp. 423-425.</w:t>
      </w:r>
    </w:p>
  </w:footnote>
  <w:footnote w:id="11">
    <w:p>
      <w:pPr>
        <w:pStyle w:val="FootnoteText"/>
        <w:spacing w:lineRule="auto" w:line="240" w:before="0" w:after="120"/>
        <w:ind w:hanging="360" w:start="360" w:end="0"/>
        <w:rPr/>
      </w:pPr>
      <w:r>
        <w:rPr>
          <w:rStyle w:val="FootnoteCharacters"/>
        </w:rPr>
        <w:footnoteRef/>
      </w:r>
      <w:r>
        <w:rPr/>
        <w:t xml:space="preserve"> </w:t>
      </w:r>
      <w:r>
        <w:rPr/>
        <w:tab/>
        <w:t>Order 2000, at pp. 333-334.</w:t>
      </w:r>
    </w:p>
  </w:footnote>
  <w:footnote w:id="12">
    <w:p>
      <w:pPr>
        <w:pStyle w:val="FootnoteText"/>
        <w:spacing w:lineRule="auto" w:line="240" w:before="0" w:after="120"/>
        <w:ind w:hanging="360" w:start="360" w:end="0"/>
        <w:rPr/>
      </w:pPr>
      <w:r>
        <w:rPr>
          <w:rStyle w:val="FootnoteCharacters"/>
        </w:rPr>
        <w:footnoteRef/>
      </w:r>
      <w:r>
        <w:rPr/>
        <w:t xml:space="preserve"> </w:t>
      </w:r>
      <w:r>
        <w:rPr/>
        <w:tab/>
        <w:t>Order 2000, at p. 332.</w:t>
      </w:r>
    </w:p>
  </w:footnote>
  <w:footnote w:id="13">
    <w:p>
      <w:pPr>
        <w:pStyle w:val="FootnoteText"/>
        <w:spacing w:lineRule="auto" w:line="240" w:before="0" w:after="120"/>
        <w:ind w:hanging="360" w:start="360" w:end="0"/>
        <w:rPr/>
      </w:pPr>
      <w:r>
        <w:rPr>
          <w:rStyle w:val="FootnoteCharacters"/>
        </w:rPr>
        <w:footnoteRef/>
      </w:r>
      <w:r>
        <w:rPr/>
        <w:t xml:space="preserve"> </w:t>
      </w:r>
      <w:r>
        <w:rPr/>
        <w:tab/>
        <w:t>Order 2000, at p. 333.</w:t>
      </w:r>
    </w:p>
  </w:footnote>
  <w:footnote w:id="14">
    <w:p>
      <w:pPr>
        <w:pStyle w:val="FootnoteText"/>
        <w:spacing w:lineRule="auto" w:line="240" w:before="0" w:after="120"/>
        <w:ind w:hanging="360" w:start="360" w:end="0"/>
        <w:rPr/>
      </w:pPr>
      <w:r>
        <w:rPr>
          <w:rStyle w:val="FootnoteCharacters"/>
        </w:rPr>
        <w:footnoteRef/>
      </w:r>
      <w:r>
        <w:rPr/>
        <w:t xml:space="preserve"> </w:t>
      </w:r>
      <w:r>
        <w:rPr/>
        <w:tab/>
        <w:t>Market prices that accurately reflect real-time operations must be determined in a process that considers all injections, withdrawals and flows of power, and all transmission constraints, simultaneously.  Nobody has seriously suggested that this can be done efficiently by information sharing or arbitrage among multiple markets.  There must be a single real-time physical market.</w:t>
      </w:r>
    </w:p>
  </w:footnote>
  <w:footnote w:id="15">
    <w:p>
      <w:pPr>
        <w:pStyle w:val="FootnoteText"/>
        <w:spacing w:lineRule="auto" w:line="240" w:before="0" w:after="120"/>
        <w:ind w:hanging="360" w:start="360" w:end="0"/>
        <w:rPr/>
      </w:pPr>
      <w:r>
        <w:rPr>
          <w:rStyle w:val="FootnoteCharacters"/>
        </w:rPr>
        <w:footnoteRef/>
      </w:r>
      <w:r>
        <w:rPr/>
        <w:t xml:space="preserve"> </w:t>
      </w:r>
      <w:r>
        <w:rPr/>
        <w:tab/>
        <w:t>For the record, I have filed affidavits with the Commission opposing capacity obligations in NEPOOL and elsewhere as unnecessary and distorting.  A well-designed real-time market in energy, operating reserves and ancillary services, combined with forward contracting by market participants, is a much more efficient way to assure adequate capacity (and load management) than mandatory risk-management through the RTO.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before="0" w:after="24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504" w:leader="none"/>
      </w:tabs>
      <w:spacing w:before="120" w:after="120"/>
      <w:jc w:val="center"/>
      <w:outlineLvl w:val="0"/>
    </w:pPr>
    <w:rPr>
      <w:b/>
      <w:bCs/>
      <w:caps/>
      <w:sz w:val="28"/>
    </w:rPr>
  </w:style>
  <w:style w:type="paragraph" w:styleId="Heading2">
    <w:name w:val="heading 2"/>
    <w:basedOn w:val="Normal"/>
    <w:next w:val="Normal"/>
    <w:qFormat/>
    <w:pPr>
      <w:keepNext w:val="true"/>
      <w:numPr>
        <w:ilvl w:val="1"/>
        <w:numId w:val="1"/>
      </w:numPr>
      <w:spacing w:lineRule="auto" w:line="240" w:before="120" w:after="180"/>
      <w:outlineLvl w:val="1"/>
    </w:pPr>
    <w:rPr>
      <w:rFonts w:cs="Arial"/>
      <w:b/>
      <w:bCs/>
      <w:iCs/>
      <w:smallCaps/>
      <w:szCs w:val="28"/>
    </w:rPr>
  </w:style>
  <w:style w:type="paragraph" w:styleId="Heading3">
    <w:name w:val="heading 3"/>
    <w:basedOn w:val="Normal"/>
    <w:next w:val="Normal"/>
    <w:qFormat/>
    <w:pPr>
      <w:keepNext w:val="true"/>
      <w:numPr>
        <w:ilvl w:val="2"/>
        <w:numId w:val="1"/>
      </w:numPr>
      <w:spacing w:lineRule="auto" w:line="240" w:before="0" w:after="180"/>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240" w:before="0" w:after="0"/>
      <w:jc w:val="center"/>
    </w:pPr>
    <w:rPr>
      <w:b/>
    </w:rPr>
  </w:style>
  <w:style w:type="paragraph" w:styleId="BodyText">
    <w:name w:val="Body Text"/>
    <w:basedOn w:val="Normal"/>
    <w:pPr>
      <w:jc w:val="center"/>
    </w:pPr>
    <w:rPr>
      <w:b/>
      <w:bCs/>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lineRule="auto" w:line="240"/>
      <w:ind w:hanging="0" w:start="720" w:end="720"/>
      <w:jc w:val="center"/>
    </w:pPr>
    <w:rPr>
      <w:i/>
      <w:iCs/>
      <w:sz w:val="28"/>
    </w:rPr>
  </w:style>
  <w:style w:type="paragraph" w:styleId="FootnoteText">
    <w:name w:val="footnote text"/>
    <w:basedOn w:val="Normal"/>
    <w:pPr>
      <w:tabs>
        <w:tab w:val="clear" w:pos="720"/>
        <w:tab w:val="left" w:pos="360" w:leader="none"/>
      </w:tabs>
      <w:spacing w:lineRule="auto" w:line="240" w:before="0" w:after="120"/>
      <w:ind w:hanging="360" w:start="360" w:end="0"/>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left" w:pos="360" w:leader="none"/>
        <w:tab w:val="right" w:pos="9000" w:leader="dot"/>
      </w:tabs>
      <w:spacing w:lineRule="auto" w:line="240" w:before="120" w:after="0"/>
    </w:pPr>
    <w:rPr>
      <w:szCs w:val="28"/>
      <w:lang w:val="en-CA" w:eastAsia="en-CA"/>
    </w:rPr>
  </w:style>
  <w:style w:type="paragraph" w:styleId="TOC2">
    <w:name w:val="toc 2"/>
    <w:basedOn w:val="Normal"/>
    <w:next w:val="Normal"/>
    <w:pPr>
      <w:tabs>
        <w:tab w:val="left" w:pos="720" w:leader="none"/>
        <w:tab w:val="right" w:pos="8990" w:leader="dot"/>
      </w:tabs>
      <w:spacing w:lineRule="auto" w:line="240" w:before="0" w:after="0"/>
      <w:ind w:hanging="0" w:start="288" w:end="0"/>
    </w:pPr>
    <w:rPr>
      <w:lang w:val="en-CA" w:eastAsia="en-CA"/>
    </w:rPr>
  </w:style>
  <w:style w:type="paragraph" w:styleId="TOC3">
    <w:name w:val="toc 3"/>
    <w:basedOn w:val="Normal"/>
    <w:next w:val="Normal"/>
    <w:pPr>
      <w:tabs>
        <w:tab w:val="clear" w:pos="720"/>
        <w:tab w:val="left" w:pos="1152" w:leader="none"/>
        <w:tab w:val="right" w:pos="8986" w:leader="dot"/>
      </w:tabs>
      <w:spacing w:lineRule="auto" w:line="240" w:before="0" w:after="60"/>
      <w:ind w:hanging="0" w:start="576" w:end="0"/>
    </w:pPr>
    <w:rPr>
      <w:szCs w:val="22"/>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ind w:hanging="0" w:start="720" w:end="0"/>
    </w:pPr>
    <w:rPr/>
  </w:style>
  <w:style w:type="paragraph" w:styleId="BodyText2">
    <w:name w:val="Body Text 2"/>
    <w:basedOn w:val="Normal"/>
    <w:qFormat/>
    <w:pPr>
      <w:jc w:val="center"/>
    </w:pPr>
    <w:rPr>
      <w:i/>
      <w:iCs/>
      <w:color w:val="FF0000"/>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2001-11-07T12:21:00Z</dcterms:created>
  <dc:creator>Valued Sony Customer</dc:creator>
  <dc:description/>
  <dc:language>en-CA</dc:language>
  <cp:lastModifiedBy>stewal</cp:lastModifiedBy>
  <cp:lastPrinted>2001-11-08T10:40:00Z</cp:lastPrinted>
  <dcterms:modified xsi:type="dcterms:W3CDTF">2001-11-08T13:31:00Z</dcterms:modified>
  <cp:revision>6</cp:revision>
  <dc:subject/>
  <dc:title>UNITED STATES OF AMERICA</dc:title>
</cp:coreProperties>
</file>