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rFonts w:ascii="Arial" w:hAnsi="Arial" w:cs="Arial"/>
          <w:sz w:val="28"/>
        </w:rPr>
      </w:pPr>
      <w:r>
        <w:drawing>
          <wp:anchor behindDoc="0" distT="0" distB="0" distL="114935" distR="114935" simplePos="0" locked="0" layoutInCell="1" allowOverlap="1" relativeHeight="2">
            <wp:simplePos x="0" y="0"/>
            <wp:positionH relativeFrom="column">
              <wp:posOffset>-177165</wp:posOffset>
            </wp:positionH>
            <wp:positionV relativeFrom="paragraph">
              <wp:posOffset>-111760</wp:posOffset>
            </wp:positionV>
            <wp:extent cx="1095375" cy="187642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3" r="-5" b="-3"/>
                    <a:stretch>
                      <a:fillRect/>
                    </a:stretch>
                  </pic:blipFill>
                  <pic:spPr bwMode="auto">
                    <a:xfrm>
                      <a:off x="0" y="0"/>
                      <a:ext cx="1095375" cy="1876425"/>
                    </a:xfrm>
                    <a:prstGeom prst="rect">
                      <a:avLst/>
                    </a:prstGeom>
                    <a:noFill/>
                  </pic:spPr>
                </pic:pic>
              </a:graphicData>
            </a:graphic>
          </wp:anchor>
        </w:drawing>
      </w:r>
      <w:r>
        <w:rPr>
          <w:rFonts w:cs="Arial" w:ascii="Arial" w:hAnsi="Arial"/>
          <w:sz w:val="28"/>
        </w:rPr>
        <w:t>JUSTICE ROUNDTABLE</w:t>
      </w:r>
    </w:p>
    <w:p>
      <w:pPr>
        <w:pStyle w:val="Normal"/>
        <w:rPr>
          <w:rFonts w:ascii="Arial" w:hAnsi="Arial" w:cs="Arial"/>
          <w:sz w:val="28"/>
        </w:rPr>
      </w:pPr>
      <w:r>
        <w:rPr>
          <w:rFonts w:cs="Arial" w:ascii="Arial" w:hAnsi="Arial"/>
          <w:sz w:val="28"/>
        </w:rPr>
      </w:r>
    </w:p>
    <w:p>
      <w:pPr>
        <w:pStyle w:val="Normal"/>
        <w:jc w:val="center"/>
        <w:rPr>
          <w:rFonts w:ascii="Times New Roman" w:hAnsi="Times New Roman" w:cs="Times New Roman"/>
          <w:b/>
          <w:i/>
          <w:i/>
          <w:sz w:val="28"/>
        </w:rPr>
      </w:pPr>
      <w:r>
        <w:rPr>
          <w:rFonts w:cs="Times New Roman" w:ascii="Times New Roman" w:hAnsi="Times New Roman"/>
          <w:b/>
          <w:i/>
          <w:sz w:val="28"/>
        </w:rPr>
        <w:t>Improving Judicial Selection:  The Call to Action</w:t>
      </w:r>
    </w:p>
    <w:p>
      <w:pPr>
        <w:pStyle w:val="Heading1"/>
        <w:ind w:hanging="0" w:start="0"/>
        <w:jc w:val="center"/>
        <w:rPr/>
      </w:pPr>
      <w:r>
        <w:rPr/>
      </w:r>
    </w:p>
    <w:p>
      <w:pPr>
        <w:pStyle w:val="Normal"/>
        <w:jc w:val="center"/>
        <w:rPr>
          <w:rFonts w:ascii="Times New Roman" w:hAnsi="Times New Roman" w:cs="Times New Roman"/>
        </w:rPr>
      </w:pPr>
      <w:r>
        <w:rPr>
          <w:rFonts w:cs="Times New Roman" w:ascii="Times New Roman" w:hAnsi="Times New Roman"/>
        </w:rPr>
        <w:t>Friday, November 16, 2001 (9-11:30 a.m.)</w:t>
      </w:r>
    </w:p>
    <w:p>
      <w:pPr>
        <w:pStyle w:val="Normal"/>
        <w:jc w:val="center"/>
        <w:rPr>
          <w:rFonts w:ascii="Times New Roman" w:hAnsi="Times New Roman" w:cs="Times New Roman"/>
        </w:rPr>
      </w:pPr>
      <w:r>
        <w:rPr>
          <w:rFonts w:cs="Times New Roman" w:ascii="Times New Roman" w:hAnsi="Times New Roman"/>
        </w:rPr>
        <w:t xml:space="preserve">Willard Inter-Continental Washington </w:t>
      </w:r>
    </w:p>
    <w:p>
      <w:pPr>
        <w:pStyle w:val="Normal"/>
        <w:jc w:val="center"/>
        <w:rPr>
          <w:rFonts w:ascii="Times New Roman" w:hAnsi="Times New Roman" w:cs="Times New Roman"/>
        </w:rPr>
      </w:pPr>
      <w:r>
        <w:rPr>
          <w:rFonts w:cs="Times New Roman" w:ascii="Times New Roman" w:hAnsi="Times New Roman"/>
        </w:rPr>
        <w:t>Pierce Room</w:t>
      </w:r>
    </w:p>
    <w:p>
      <w:pPr>
        <w:pStyle w:val="Normal"/>
        <w:jc w:val="center"/>
        <w:rPr>
          <w:rFonts w:ascii="Times New Roman" w:hAnsi="Times New Roman" w:cs="Times New Roman"/>
        </w:rPr>
      </w:pPr>
      <w:r>
        <w:rPr>
          <w:rFonts w:cs="Times New Roman" w:ascii="Times New Roman" w:hAnsi="Times New Roman"/>
        </w:rPr>
      </w:r>
    </w:p>
    <w:p>
      <w:pPr>
        <w:pStyle w:val="Heading7"/>
        <w:ind w:hanging="0" w:start="0"/>
        <w:rPr/>
      </w:pPr>
      <w:r>
        <w:rPr/>
        <w:t>AGENDA</w:t>
      </w:r>
    </w:p>
    <w:p>
      <w:pPr>
        <w:pStyle w:val="Normal"/>
        <w:pBdr>
          <w:bottom w:val="single" w:sz="12" w:space="1" w:color="000000"/>
        </w:pBdr>
        <w:jc w:val="center"/>
        <w:rPr>
          <w:rFonts w:ascii="Times New Roman" w:hAnsi="Times New Roman" w:cs="Times New Roman"/>
          <w:i/>
          <w:i/>
        </w:rPr>
      </w:pPr>
      <w:r>
        <w:rPr>
          <w:rFonts w:cs="Times New Roman" w:ascii="Times New Roman" w:hAnsi="Times New Roman"/>
          <w:i/>
        </w:rPr>
      </w:r>
    </w:p>
    <w:p>
      <w:pPr>
        <w:pStyle w:val="Normal"/>
        <w:tabs>
          <w:tab w:val="clear" w:pos="720"/>
          <w:tab w:val="left" w:pos="0" w:leader="none"/>
        </w:tabs>
        <w:rPr>
          <w:rFonts w:ascii="Times New Roman" w:hAnsi="Times New Roman" w:cs="Times New Roman"/>
          <w:sz w:val="16"/>
        </w:rPr>
      </w:pPr>
      <w:r>
        <w:rPr>
          <w:rFonts w:cs="Times New Roman" w:ascii="Times New Roman" w:hAnsi="Times New Roman"/>
          <w:sz w:val="16"/>
        </w:rPr>
        <w:t>Participants:  State chief justices, general counsel,</w:t>
      </w:r>
    </w:p>
    <w:p>
      <w:pPr>
        <w:pStyle w:val="Normal"/>
        <w:tabs>
          <w:tab w:val="clear" w:pos="720"/>
          <w:tab w:val="left" w:pos="0" w:leader="none"/>
        </w:tabs>
        <w:rPr>
          <w:rFonts w:ascii="Times New Roman" w:hAnsi="Times New Roman" w:cs="Times New Roman"/>
          <w:sz w:val="16"/>
        </w:rPr>
      </w:pPr>
      <w:r>
        <w:rPr>
          <w:rFonts w:cs="Times New Roman" w:ascii="Times New Roman" w:hAnsi="Times New Roman"/>
          <w:sz w:val="16"/>
        </w:rPr>
        <w:t>invited members of the Bar, NCSC Board of Directors</w:t>
      </w:r>
    </w:p>
    <w:p>
      <w:pPr>
        <w:pStyle w:val="Normal"/>
        <w:tabs>
          <w:tab w:val="clear" w:pos="720"/>
          <w:tab w:val="left" w:pos="0" w:leader="none"/>
        </w:tabs>
        <w:rPr>
          <w:rFonts w:ascii="Times New Roman" w:hAnsi="Times New Roman" w:cs="Times New Roman"/>
          <w:sz w:val="16"/>
        </w:rPr>
      </w:pPr>
      <w:r>
        <w:rPr>
          <w:rFonts w:cs="Times New Roman" w:ascii="Times New Roman" w:hAnsi="Times New Roman"/>
          <w:sz w:val="16"/>
        </w:rPr>
      </w:r>
    </w:p>
    <w:p>
      <w:pPr>
        <w:pStyle w:val="Normal"/>
        <w:tabs>
          <w:tab w:val="clear" w:pos="720"/>
          <w:tab w:val="left" w:pos="-1710" w:leader="none"/>
          <w:tab w:val="left" w:pos="2856" w:leader="none"/>
        </w:tabs>
        <w:ind w:start="1440" w:end="0"/>
        <w:rPr>
          <w:rFonts w:ascii="Times New Roman" w:hAnsi="Times New Roman" w:cs="Times New Roman"/>
          <w:b/>
        </w:rPr>
      </w:pPr>
      <w:r>
        <w:rPr>
          <w:rFonts w:cs="Times New Roman" w:ascii="Times New Roman" w:hAnsi="Times New Roman"/>
          <w:b/>
        </w:rPr>
        <w:t>Format and Objective</w:t>
      </w:r>
    </w:p>
    <w:p>
      <w:pPr>
        <w:pStyle w:val="BodyTextIndent3"/>
        <w:ind w:hanging="0" w:start="2160" w:end="738"/>
        <w:jc w:val="both"/>
        <w:rPr>
          <w:sz w:val="20"/>
        </w:rPr>
      </w:pPr>
      <w:r>
        <w:rPr>
          <w:sz w:val="20"/>
        </w:rPr>
        <w:t xml:space="preserve">Participants will view a videotape of judicial campaign ads used in the 2000 judicial elections in prominent states.  In light of the contemporary campaign, advertising and funding practices reflected on the videotape, participants will discuss how best to reform judicial election processes without infringing First Amendment requirements in order to promote a well-qualified, impartial judiciary that enjoys the public’s trust and confidence.  </w:t>
      </w:r>
    </w:p>
    <w:p>
      <w:pPr>
        <w:pStyle w:val="BodyTextIndent3"/>
        <w:ind w:hanging="0" w:start="2160" w:end="738"/>
        <w:jc w:val="both"/>
        <w:rPr>
          <w:b/>
          <w:sz w:val="20"/>
        </w:rPr>
      </w:pPr>
      <w:r>
        <w:rPr>
          <w:b/>
          <w:sz w:val="20"/>
        </w:rPr>
      </w:r>
    </w:p>
    <w:p>
      <w:pPr>
        <w:pStyle w:val="Normal"/>
        <w:tabs>
          <w:tab w:val="clear" w:pos="720"/>
          <w:tab w:val="left" w:pos="-1710" w:leader="none"/>
          <w:tab w:val="left" w:pos="2856" w:leader="none"/>
        </w:tabs>
        <w:ind w:start="1440" w:end="0"/>
        <w:rPr>
          <w:rFonts w:ascii="Times New Roman" w:hAnsi="Times New Roman" w:cs="Times New Roman"/>
        </w:rPr>
      </w:pPr>
      <w:r>
        <w:rPr>
          <w:rFonts w:cs="Times New Roman" w:ascii="Times New Roman" w:hAnsi="Times New Roman"/>
          <w:b/>
        </w:rPr>
        <w:t xml:space="preserve">Welcome and Call to Action: </w:t>
      </w:r>
      <w:hyperlink r:id="rId3">
        <w:r>
          <w:rPr>
            <w:rStyle w:val="Hyperlink"/>
            <w:sz w:val="20"/>
          </w:rPr>
          <w:t>www.ncsc.dni.us/SummitCalltoAction.htm</w:t>
        </w:r>
      </w:hyperlink>
      <w:r>
        <w:rPr>
          <w:rFonts w:cs="Times New Roman" w:ascii="Times New Roman" w:hAnsi="Times New Roman"/>
          <w:b/>
        </w:rPr>
        <w:t xml:space="preserve"> </w:t>
        <w:tab/>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Honorable Roger K. Warren</w:t>
      </w:r>
    </w:p>
    <w:p>
      <w:pPr>
        <w:pStyle w:val="Normal"/>
        <w:tabs>
          <w:tab w:val="left" w:pos="-1710" w:leader="none"/>
          <w:tab w:val="left" w:pos="720" w:leader="none"/>
          <w:tab w:val="left" w:pos="1080" w:leader="none"/>
          <w:tab w:val="left" w:pos="1440" w:leader="none"/>
        </w:tabs>
        <w:ind w:start="1440" w:end="0"/>
        <w:rPr/>
      </w:pPr>
      <w:r>
        <w:rPr>
          <w:rFonts w:cs="Times New Roman" w:ascii="Times New Roman" w:hAnsi="Times New Roman"/>
          <w:sz w:val="20"/>
        </w:rPr>
        <w:tab/>
      </w:r>
      <w:r>
        <w:rPr>
          <w:rFonts w:cs="Times New Roman" w:ascii="Times New Roman" w:hAnsi="Times New Roman"/>
          <w:i/>
          <w:sz w:val="20"/>
        </w:rPr>
        <w:t>President of the National Center for State Courts</w:t>
      </w:r>
      <w:r>
        <w:rPr>
          <w:rFonts w:cs="Times New Roman" w:ascii="Times New Roman" w:hAnsi="Times New Roman"/>
          <w:sz w:val="20"/>
        </w:rPr>
        <w:tab/>
        <w:tab/>
        <w:tab/>
      </w:r>
      <w:r>
        <w:rPr>
          <w:rFonts w:cs="Times New Roman" w:ascii="Times New Roman" w:hAnsi="Times New Roman"/>
          <w:i/>
          <w:sz w:val="20"/>
        </w:rPr>
        <w:t xml:space="preserve"> </w:t>
      </w:r>
    </w:p>
    <w:p>
      <w:pPr>
        <w:pStyle w:val="Heading6"/>
        <w:tabs>
          <w:tab w:val="left" w:pos="-1710" w:leader="none"/>
          <w:tab w:val="left" w:pos="720" w:leader="none"/>
          <w:tab w:val="left" w:pos="1080" w:leader="none"/>
          <w:tab w:val="left" w:pos="1980" w:leader="none"/>
        </w:tabs>
        <w:ind w:start="1440" w:end="0"/>
        <w:rPr>
          <w:rFonts w:ascii="Times New Roman" w:hAnsi="Times New Roman" w:cs="Times New Roman"/>
          <w:i/>
          <w:i/>
          <w:sz w:val="20"/>
        </w:rPr>
      </w:pPr>
      <w:r>
        <w:rPr>
          <w:rFonts w:cs="Times New Roman" w:ascii="Times New Roman" w:hAnsi="Times New Roman"/>
          <w:i/>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b/>
        </w:rPr>
      </w:pPr>
      <w:r>
        <w:rPr>
          <w:rFonts w:cs="Times New Roman" w:ascii="Times New Roman" w:hAnsi="Times New Roman"/>
          <w:b/>
        </w:rPr>
        <w:t>Symposium on Judicial Campaign Conduct and the First Amendment</w:t>
      </w:r>
    </w:p>
    <w:p>
      <w:pPr>
        <w:pStyle w:val="Heading8"/>
        <w:rPr>
          <w:i w:val="false"/>
          <w:i w:val="false"/>
          <w:iCs w:val="false"/>
          <w:sz w:val="20"/>
        </w:rPr>
      </w:pPr>
      <w:r>
        <w:rPr>
          <w:i w:val="false"/>
          <w:iCs w:val="false"/>
          <w:sz w:val="20"/>
        </w:rPr>
        <w:tab/>
        <w:t>Honorable Randall T. Shepard</w:t>
      </w:r>
    </w:p>
    <w:p>
      <w:pPr>
        <w:pStyle w:val="Normal"/>
        <w:rPr/>
      </w:pPr>
      <w:r>
        <w:rPr>
          <w:sz w:val="20"/>
        </w:rPr>
        <w:tab/>
        <w:tab/>
        <w:tab/>
      </w:r>
      <w:r>
        <w:rPr>
          <w:i/>
          <w:iCs/>
          <w:sz w:val="20"/>
        </w:rPr>
        <w:t>Chief Justice of Indiana</w:t>
      </w:r>
    </w:p>
    <w:p>
      <w:pPr>
        <w:pStyle w:val="Heading6"/>
        <w:tabs>
          <w:tab w:val="left" w:pos="-1710" w:leader="none"/>
          <w:tab w:val="left" w:pos="720" w:leader="none"/>
          <w:tab w:val="left" w:pos="1080" w:leader="none"/>
          <w:tab w:val="left" w:pos="1980" w:leader="none"/>
        </w:tabs>
        <w:ind w:start="1440" w:end="0"/>
        <w:rPr>
          <w:rFonts w:ascii="Times New Roman" w:hAnsi="Times New Roman" w:cs="Times New Roman"/>
          <w:i/>
          <w:i/>
          <w:iCs/>
          <w:sz w:val="20"/>
        </w:rPr>
      </w:pPr>
      <w:r>
        <w:rPr>
          <w:rFonts w:cs="Times New Roman" w:ascii="Times New Roman" w:hAnsi="Times New Roman"/>
          <w:i/>
          <w:iCs/>
          <w:sz w:val="20"/>
        </w:rPr>
      </w:r>
    </w:p>
    <w:p>
      <w:pPr>
        <w:pStyle w:val="Heading6"/>
        <w:tabs>
          <w:tab w:val="left" w:pos="-1710" w:leader="none"/>
          <w:tab w:val="left" w:pos="720" w:leader="none"/>
          <w:tab w:val="left" w:pos="1080" w:leader="none"/>
          <w:tab w:val="left" w:pos="1980" w:leader="none"/>
        </w:tabs>
        <w:ind w:start="1440" w:end="0"/>
        <w:rPr>
          <w:rFonts w:ascii="Times New Roman" w:hAnsi="Times New Roman" w:cs="Times New Roman"/>
        </w:rPr>
      </w:pPr>
      <w:r>
        <w:rPr>
          <w:rFonts w:cs="Times New Roman" w:ascii="Times New Roman" w:hAnsi="Times New Roman"/>
        </w:rPr>
        <w:t>Panelists</w:t>
        <w:tab/>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Honorable Shirley S. Abrahamson</w:t>
      </w:r>
    </w:p>
    <w:p>
      <w:pPr>
        <w:pStyle w:val="Normal"/>
        <w:tabs>
          <w:tab w:val="left" w:pos="-1710" w:leader="none"/>
          <w:tab w:val="left" w:pos="720" w:leader="none"/>
          <w:tab w:val="left" w:pos="1080" w:leader="none"/>
          <w:tab w:val="left" w:pos="1440" w:leader="none"/>
        </w:tabs>
        <w:ind w:start="1440" w:end="0"/>
        <w:rPr/>
      </w:pPr>
      <w:r>
        <w:rPr>
          <w:rFonts w:cs="Times New Roman" w:ascii="Times New Roman" w:hAnsi="Times New Roman"/>
          <w:sz w:val="20"/>
        </w:rPr>
        <w:tab/>
      </w:r>
      <w:r>
        <w:rPr>
          <w:rFonts w:cs="Times New Roman" w:ascii="Times New Roman" w:hAnsi="Times New Roman"/>
          <w:i/>
          <w:iCs/>
          <w:sz w:val="20"/>
        </w:rPr>
        <w:t>Chief Justice of Wisconsin</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George S. Frazza, Esq.</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tab/>
        <w:t>Patterson, Belknap, Webb &amp; Tyler, New York, New York</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R. William Ide, III</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sz w:val="20"/>
        </w:rPr>
      </w:pPr>
      <w:r>
        <w:rPr>
          <w:rFonts w:cs="Times New Roman" w:ascii="Times New Roman" w:hAnsi="Times New Roman"/>
          <w:i/>
          <w:sz w:val="20"/>
        </w:rPr>
        <w:tab/>
        <w:t>Senior Vice President and General Counsel, Monsanto Company (ret.)</w:t>
      </w:r>
    </w:p>
    <w:p>
      <w:pPr>
        <w:pStyle w:val="Normal"/>
        <w:tabs>
          <w:tab w:val="left" w:pos="-1710" w:leader="none"/>
          <w:tab w:val="left" w:pos="720" w:leader="none"/>
          <w:tab w:val="left" w:pos="1080" w:leader="none"/>
          <w:tab w:val="left" w:pos="1440" w:leader="none"/>
        </w:tabs>
        <w:ind w:start="1440" w:end="0"/>
        <w:rPr/>
      </w:pPr>
      <w:r>
        <w:rPr>
          <w:rFonts w:cs="Times New Roman" w:ascii="Times New Roman" w:hAnsi="Times New Roman"/>
          <w:i/>
          <w:sz w:val="20"/>
        </w:rPr>
        <w:tab/>
        <w:t>Co-chair, NCSC General Counsel Committee</w:t>
      </w:r>
      <w:r>
        <w:rPr>
          <w:rFonts w:cs="Times New Roman" w:ascii="Times New Roman" w:hAnsi="Times New Roman"/>
          <w:sz w:val="20"/>
        </w:rPr>
        <w:t xml:space="preserve"> </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D. Dudley Oldham, Esq.</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tab/>
        <w:t>Fulbright &amp; Jaworski, Houston, Texas</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Robert S. Peck</w:t>
      </w:r>
    </w:p>
    <w:p>
      <w:pPr>
        <w:pStyle w:val="Heading9"/>
        <w:rPr>
          <w:sz w:val="20"/>
        </w:rPr>
      </w:pPr>
      <w:r>
        <w:rPr>
          <w:sz w:val="20"/>
        </w:rPr>
        <w:tab/>
        <w:t>President, Center for Constitutional Litigation/ATLA</w:t>
        <w:tab/>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sz w:val="20"/>
        </w:rPr>
      </w:pPr>
      <w:r>
        <w:rPr>
          <w:rFonts w:cs="Times New Roman" w:ascii="Times New Roman" w:hAnsi="Times New Roman"/>
          <w:sz w:val="20"/>
        </w:rPr>
        <w:tab/>
        <w:t>Honorable Randall T. Shepard</w:t>
      </w:r>
    </w:p>
    <w:p>
      <w:pPr>
        <w:pStyle w:val="Normal"/>
        <w:tabs>
          <w:tab w:val="left" w:pos="-1710" w:leader="none"/>
          <w:tab w:val="left" w:pos="720" w:leader="none"/>
          <w:tab w:val="left" w:pos="1080" w:leader="none"/>
          <w:tab w:val="left" w:pos="1440" w:leader="none"/>
        </w:tabs>
        <w:ind w:start="1440" w:end="0"/>
        <w:rPr/>
      </w:pPr>
      <w:r>
        <w:rPr>
          <w:rFonts w:cs="Times New Roman" w:ascii="Times New Roman" w:hAnsi="Times New Roman"/>
          <w:sz w:val="20"/>
        </w:rPr>
        <w:tab/>
      </w:r>
      <w:r>
        <w:rPr>
          <w:rFonts w:cs="Times New Roman" w:ascii="Times New Roman" w:hAnsi="Times New Roman"/>
          <w:i/>
          <w:iCs/>
          <w:sz w:val="20"/>
        </w:rPr>
        <w:t>Chief Justice of Indiana</w:t>
      </w:r>
    </w:p>
    <w:p>
      <w:pPr>
        <w:pStyle w:val="Normal"/>
        <w:tabs>
          <w:tab w:val="left" w:pos="-1710" w:leader="none"/>
          <w:tab w:val="left" w:pos="720" w:leader="none"/>
          <w:tab w:val="left" w:pos="1080" w:leader="none"/>
          <w:tab w:val="left" w:pos="1440" w:leader="none"/>
        </w:tabs>
        <w:ind w:start="1440" w:end="0"/>
        <w:rPr>
          <w:rFonts w:ascii="Times New Roman" w:hAnsi="Times New Roman" w:cs="Times New Roman"/>
          <w:i/>
          <w:i/>
          <w:iCs/>
          <w:sz w:val="20"/>
        </w:rPr>
      </w:pPr>
      <w:r>
        <w:rPr>
          <w:rFonts w:cs="Times New Roman" w:ascii="Times New Roman" w:hAnsi="Times New Roman"/>
          <w:i/>
          <w:iCs/>
          <w:sz w:val="20"/>
        </w:rPr>
      </w:r>
    </w:p>
    <w:p>
      <w:pPr>
        <w:pStyle w:val="Normal"/>
        <w:tabs>
          <w:tab w:val="left" w:pos="-1710" w:leader="none"/>
          <w:tab w:val="left" w:pos="720" w:leader="none"/>
          <w:tab w:val="left" w:pos="1080" w:leader="none"/>
          <w:tab w:val="left" w:pos="1440" w:leader="none"/>
        </w:tabs>
        <w:rPr>
          <w:b/>
        </w:rPr>
      </w:pPr>
      <w:r>
        <w:rPr>
          <w:rFonts w:cs="Times New Roman" w:ascii="Times New Roman" w:hAnsi="Times New Roman"/>
          <w:i/>
          <w:iCs/>
        </w:rPr>
        <w:tab/>
        <w:tab/>
        <w:tab/>
      </w:r>
      <w:r>
        <w:rPr>
          <w:rFonts w:cs="Times New Roman" w:ascii="Times New Roman" w:hAnsi="Times New Roman"/>
          <w:b/>
        </w:rPr>
        <w:t>Participant Discussion</w:t>
      </w:r>
    </w:p>
    <w:p>
      <w:pPr>
        <w:pStyle w:val="Heading1"/>
        <w:ind w:hanging="0" w:start="0"/>
        <w:rPr/>
      </w:pPr>
      <w:r>
        <w:rPr/>
        <w:tab/>
      </w:r>
      <w:r>
        <w:rPr>
          <w:rFonts w:cs="Times New Roman" w:ascii="Times New Roman" w:hAnsi="Times New Roman"/>
        </w:rPr>
        <w:tab/>
      </w:r>
    </w:p>
    <w:p>
      <w:pPr>
        <w:pStyle w:val="Heading1"/>
        <w:ind w:firstLine="720" w:start="720" w:end="0"/>
        <w:rPr>
          <w:rFonts w:ascii="Times New Roman" w:hAnsi="Times New Roman" w:cs="Times New Roman"/>
        </w:rPr>
      </w:pPr>
      <w:r>
        <w:rPr>
          <w:rFonts w:cs="Times New Roman" w:ascii="Times New Roman" w:hAnsi="Times New Roman"/>
        </w:rPr>
        <w:t>Closing Comments</w:t>
      </w:r>
    </w:p>
    <w:p>
      <w:pPr>
        <w:pStyle w:val="Normal"/>
        <w:rPr/>
      </w:pPr>
      <w:r>
        <w:rPr/>
        <w:tab/>
        <w:tab/>
      </w:r>
      <w:r>
        <w:rPr>
          <w:sz w:val="20"/>
        </w:rPr>
        <w:tab/>
        <w:t>Roger K. Warren</w:t>
      </w:r>
    </w:p>
    <w:sectPr>
      <w:footerReference w:type="default" r:id="rId4"/>
      <w:type w:val="nextPage"/>
      <w:pgSz w:w="12240" w:h="15840"/>
      <w:pgMar w:left="1440" w:right="1152" w:gutter="0" w:header="0" w:top="1080" w:footer="360" w:bottom="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w:t>
    </w:r>
  </w:p>
  <w:p>
    <w:pPr>
      <w:pStyle w:val="Footer"/>
      <w:jc w:val="center"/>
      <w:rPr/>
    </w:pPr>
    <w:r>
      <w:rPr/>
    </w:r>
  </w:p>
  <w:p>
    <w:pPr>
      <w:pStyle w:val="Footer"/>
      <w:jc w:val="center"/>
      <w:rPr/>
    </w:pPr>
    <w:r>
      <w:rPr/>
      <w:t>The National Center for State Courts</w:t>
    </w:r>
  </w:p>
  <w:p>
    <w:pPr>
      <w:pStyle w:val="Footer"/>
      <w:jc w:val="center"/>
      <w:rPr/>
    </w:pPr>
    <w:r>
      <w:rPr>
        <w:sz w:val="18"/>
      </w:rPr>
      <w:t xml:space="preserve">300 Newport Avenue  </w:t>
    </w:r>
    <w:r>
      <w:rPr>
        <w:rFonts w:cs="Wingdings" w:ascii="Wingdings" w:hAnsi="Wingdings"/>
        <w:sz w:val="16"/>
      </w:rPr>
      <w:sym w:font="Wingdings" w:char="f06c"/>
    </w:r>
    <w:r>
      <w:rPr>
        <w:sz w:val="18"/>
      </w:rPr>
      <w:t xml:space="preserve">  Williamsburg, VA  23185</w:t>
    </w:r>
  </w:p>
  <w:p>
    <w:pPr>
      <w:pStyle w:val="Footer"/>
      <w:jc w:val="center"/>
      <w:rPr/>
    </w:pPr>
    <w:r>
      <w:rPr>
        <w:sz w:val="18"/>
      </w:rPr>
      <w:t xml:space="preserve">(757) 253-2000   </w:t>
    </w:r>
    <w:r>
      <w:rPr>
        <w:rFonts w:cs="Wingdings" w:ascii="Wingdings" w:hAnsi="Wingdings"/>
        <w:sz w:val="16"/>
      </w:rPr>
      <w:sym w:font="Wingdings" w:char="f06c"/>
    </w:r>
    <w:r>
      <w:rPr>
        <w:sz w:val="18"/>
      </w:rPr>
      <w:t xml:space="preserve">   (757)  220-0449   </w:t>
    </w:r>
    <w:r>
      <w:rPr>
        <w:rFonts w:cs="Wingdings" w:ascii="Wingdings" w:hAnsi="Wingdings"/>
        <w:sz w:val="16"/>
      </w:rPr>
      <w:sym w:font="Wingdings" w:char="f06c"/>
    </w:r>
    <w:r>
      <w:rPr>
        <w:sz w:val="18"/>
      </w:rPr>
      <w:t xml:space="preserve"> </w:t>
    </w:r>
    <w:r>
      <w:rPr>
        <w:rFonts w:cs="Wingdings" w:ascii="Wingdings" w:hAnsi="Wingdings"/>
        <w:sz w:val="18"/>
      </w:rPr>
      <w:sym w:font="Wingdings" w:char="f020"/>
    </w:r>
    <w:r>
      <w:rPr>
        <w:sz w:val="18"/>
      </w:rPr>
      <w:t>www.ncsconline.org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i/>
    </w:rPr>
  </w:style>
  <w:style w:type="paragraph" w:styleId="Heading3">
    <w:name w:val="heading 3"/>
    <w:basedOn w:val="Normal"/>
    <w:next w:val="Normal"/>
    <w:qFormat/>
    <w:pPr>
      <w:keepNext w:val="true"/>
      <w:numPr>
        <w:ilvl w:val="2"/>
        <w:numId w:val="1"/>
      </w:numPr>
      <w:ind w:firstLine="720" w:start="1440" w:end="0"/>
      <w:outlineLvl w:val="2"/>
    </w:pPr>
    <w:rPr>
      <w:i/>
    </w:rPr>
  </w:style>
  <w:style w:type="paragraph" w:styleId="Heading4">
    <w:name w:val="heading 4"/>
    <w:basedOn w:val="Normal"/>
    <w:next w:val="Normal"/>
    <w:qFormat/>
    <w:pPr>
      <w:keepNext w:val="true"/>
      <w:numPr>
        <w:ilvl w:val="3"/>
        <w:numId w:val="1"/>
      </w:numPr>
      <w:jc w:val="center"/>
      <w:outlineLvl w:val="3"/>
    </w:pPr>
    <w:rPr>
      <w:bCs/>
      <w:sz w:val="28"/>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u w:val="single"/>
    </w:rPr>
  </w:style>
  <w:style w:type="paragraph" w:styleId="Heading6">
    <w:name w:val="heading 6"/>
    <w:basedOn w:val="Normal"/>
    <w:next w:val="Normal"/>
    <w:qFormat/>
    <w:pPr>
      <w:keepNext w:val="true"/>
      <w:numPr>
        <w:ilvl w:val="5"/>
        <w:numId w:val="1"/>
      </w:numPr>
      <w:tabs>
        <w:tab w:val="left" w:pos="720" w:leader="none"/>
        <w:tab w:val="left" w:pos="1080" w:leader="none"/>
        <w:tab w:val="left" w:pos="1980" w:leader="none"/>
      </w:tabs>
      <w:ind w:hanging="0" w:start="720" w:end="0"/>
      <w:outlineLvl w:val="5"/>
    </w:pPr>
    <w:rPr>
      <w:b/>
    </w:rPr>
  </w:style>
  <w:style w:type="paragraph" w:styleId="Heading7">
    <w:name w:val="heading 7"/>
    <w:basedOn w:val="Normal"/>
    <w:next w:val="Normal"/>
    <w:qFormat/>
    <w:pPr>
      <w:keepNext w:val="true"/>
      <w:numPr>
        <w:ilvl w:val="6"/>
        <w:numId w:val="1"/>
      </w:numPr>
      <w:jc w:val="center"/>
      <w:outlineLvl w:val="6"/>
    </w:pPr>
    <w:rPr>
      <w:rFonts w:ascii="Arial" w:hAnsi="Arial" w:cs="Arial"/>
      <w:b/>
      <w:sz w:val="28"/>
    </w:rPr>
  </w:style>
  <w:style w:type="paragraph" w:styleId="Heading8">
    <w:name w:val="heading 8"/>
    <w:basedOn w:val="Normal"/>
    <w:next w:val="Normal"/>
    <w:qFormat/>
    <w:pPr>
      <w:keepNext w:val="true"/>
      <w:numPr>
        <w:ilvl w:val="7"/>
        <w:numId w:val="1"/>
      </w:numPr>
      <w:tabs>
        <w:tab w:val="left" w:pos="-1710" w:leader="none"/>
        <w:tab w:val="left" w:pos="720" w:leader="none"/>
        <w:tab w:val="left" w:pos="1080" w:leader="none"/>
        <w:tab w:val="left" w:pos="1440" w:leader="none"/>
      </w:tabs>
      <w:ind w:hanging="0" w:start="1440" w:end="0"/>
      <w:outlineLvl w:val="7"/>
    </w:pPr>
    <w:rPr>
      <w:rFonts w:ascii="Times New Roman" w:hAnsi="Times New Roman" w:cs="Times New Roman"/>
      <w:bCs/>
      <w:i/>
      <w:iCs/>
      <w:sz w:val="24"/>
    </w:rPr>
  </w:style>
  <w:style w:type="paragraph" w:styleId="Heading9">
    <w:name w:val="heading 9"/>
    <w:basedOn w:val="Normal"/>
    <w:next w:val="Normal"/>
    <w:qFormat/>
    <w:pPr>
      <w:keepNext w:val="true"/>
      <w:numPr>
        <w:ilvl w:val="8"/>
        <w:numId w:val="1"/>
      </w:numPr>
      <w:tabs>
        <w:tab w:val="left" w:pos="-1710" w:leader="none"/>
        <w:tab w:val="left" w:pos="720" w:leader="none"/>
        <w:tab w:val="left" w:pos="1080" w:leader="none"/>
        <w:tab w:val="left" w:pos="1440" w:leader="none"/>
      </w:tabs>
      <w:ind w:hanging="0" w:start="1440" w:end="0"/>
      <w:outlineLvl w:val="8"/>
    </w:pPr>
    <w:rPr>
      <w:rFonts w:ascii="Times New Roman" w:hAnsi="Times New Roman" w:cs="Times New Roman"/>
      <w:i/>
      <w:i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style>
  <w:style w:type="paragraph" w:styleId="BodyTextIndent2">
    <w:name w:val="Body Text Indent 2"/>
    <w:basedOn w:val="Normal"/>
    <w:qFormat/>
    <w:pPr>
      <w:ind w:hanging="0" w:start="2160" w:end="0"/>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1710" w:leader="none"/>
        <w:tab w:val="left" w:pos="2856" w:leader="none"/>
      </w:tabs>
      <w:ind w:firstLine="720" w:start="1440" w:end="0"/>
    </w:pPr>
    <w:rPr>
      <w:rFonts w:ascii="Times New Roman" w:hAnsi="Times New Roman" w:cs="Times New Roman"/>
      <w:bCs/>
      <w:sz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ncsc.dni.us/SummitCalltoAction.htm"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2001-10-23T13:42:00Z</dcterms:created>
  <dc:creator>Suzanne W. Dassel</dc:creator>
  <dc:description/>
  <dc:language>en-CA</dc:language>
  <cp:lastModifiedBy>National Center</cp:lastModifiedBy>
  <cp:lastPrinted>2001-10-26T13:21:00Z</cp:lastPrinted>
  <dcterms:modified xsi:type="dcterms:W3CDTF">2001-10-26T14:51:00Z</dcterms:modified>
  <cp:revision>13</cp:revision>
  <dc:subject/>
  <dc:title>National Center for State Courts</dc:title>
</cp:coreProperties>
</file>