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r>
    </w:p>
    <w:tbl>
      <w:tblPr>
        <w:tblW w:w="18046" w:type="dxa"/>
        <w:jc w:val="start"/>
        <w:tblInd w:w="293" w:type="dxa"/>
        <w:tblLayout w:type="fixed"/>
        <w:tblCellMar>
          <w:top w:w="0" w:type="dxa"/>
          <w:start w:w="5" w:type="dxa"/>
          <w:bottom w:w="0" w:type="dxa"/>
          <w:end w:w="5" w:type="dxa"/>
        </w:tblCellMar>
      </w:tblPr>
      <w:tblGrid>
        <w:gridCol w:w="1517"/>
        <w:gridCol w:w="787"/>
        <w:gridCol w:w="787"/>
        <w:gridCol w:w="787"/>
        <w:gridCol w:w="786"/>
        <w:gridCol w:w="787"/>
        <w:gridCol w:w="787"/>
        <w:gridCol w:w="787"/>
        <w:gridCol w:w="787"/>
        <w:gridCol w:w="788"/>
        <w:gridCol w:w="787"/>
        <w:gridCol w:w="787"/>
        <w:gridCol w:w="787"/>
        <w:gridCol w:w="786"/>
        <w:gridCol w:w="787"/>
        <w:gridCol w:w="787"/>
        <w:gridCol w:w="787"/>
        <w:gridCol w:w="787"/>
        <w:gridCol w:w="788"/>
        <w:gridCol w:w="787"/>
        <w:gridCol w:w="787"/>
        <w:gridCol w:w="783"/>
      </w:tblGrid>
      <w:tr>
        <w:trPr>
          <w:cantSplit w:val="true"/>
        </w:trPr>
        <w:tc>
          <w:tcPr>
            <w:tcW w:w="18040" w:type="dxa"/>
            <w:gridSpan w:val="22"/>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20" w:after="60"/>
              <w:ind w:hanging="0" w:start="0" w:end="0"/>
              <w:jc w:val="center"/>
              <w:rPr>
                <w:rFonts w:ascii="Times New Roman" w:hAnsi="Times New Roman"/>
                <w:b/>
                <w:sz w:val="24"/>
              </w:rPr>
            </w:pPr>
            <w:r>
              <w:rPr>
                <w:rFonts w:ascii="Times New Roman" w:hAnsi="Times New Roman"/>
                <w:b/>
                <w:sz w:val="24"/>
              </w:rPr>
              <w:t>Enron North America</w:t>
            </w:r>
          </w:p>
          <w:p>
            <w:pPr>
              <w:pStyle w:val="Normal"/>
              <w:tabs>
                <w:tab w:val="clear" w:pos="720"/>
              </w:tabs>
              <w:bidi w:val="0"/>
              <w:spacing w:before="60" w:after="120"/>
              <w:ind w:hanging="0" w:start="0" w:end="0"/>
              <w:jc w:val="center"/>
              <w:rPr/>
            </w:pPr>
            <w:r>
              <w:rPr>
                <w:rFonts w:ascii="Times New Roman" w:hAnsi="Times New Roman"/>
                <w:b/>
                <w:sz w:val="24"/>
              </w:rPr>
              <w:t>Phase I Bids (All amounts in $ Millions)</w:t>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Bidder</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Allegheny</w:t>
              <w:br/>
              <w:t>Energy</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AES</w:t>
              <w:br/>
              <w:t>Pacific</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American Electric Power</w:t>
            </w:r>
          </w:p>
        </w:tc>
        <w:tc>
          <w:tcPr>
            <w:tcW w:w="786"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Aquila Energy</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Calpine Corp</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Cinergy Corp</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DPL Inc.</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Duke Energy</w:t>
            </w:r>
          </w:p>
        </w:tc>
        <w:tc>
          <w:tcPr>
            <w:tcW w:w="788"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Dynegy</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Edison Mission Energy</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El Paso</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Intergen</w:t>
            </w:r>
          </w:p>
        </w:tc>
        <w:tc>
          <w:tcPr>
            <w:tcW w:w="786"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LG&amp;E Energy Corp.</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 xml:space="preserve">NRG Energy </w:t>
            </w:r>
            <w:r>
              <w:rPr>
                <w:rFonts w:ascii="Times New Roman" w:hAnsi="Times New Roman"/>
                <w:sz w:val="16"/>
                <w:vertAlign w:val="superscript"/>
              </w:rPr>
              <w:t>(13)</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Orion Power</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PECO Energy</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PG&amp;E</w:t>
            </w:r>
          </w:p>
        </w:tc>
        <w:tc>
          <w:tcPr>
            <w:tcW w:w="788"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Pinnacle West</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PSEG Global</w:t>
            </w:r>
          </w:p>
        </w:tc>
        <w:tc>
          <w:tcPr>
            <w:tcW w:w="78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Southern Energy</w:t>
            </w:r>
          </w:p>
        </w:tc>
        <w:tc>
          <w:tcPr>
            <w:tcW w:w="783"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s>
              <w:bidi w:val="0"/>
              <w:spacing w:before="120" w:after="80"/>
              <w:ind w:hanging="0" w:start="0" w:end="0"/>
              <w:jc w:val="center"/>
              <w:rPr/>
            </w:pPr>
            <w:r>
              <w:rPr>
                <w:rFonts w:ascii="Times New Roman" w:hAnsi="Times New Roman"/>
                <w:b/>
                <w:sz w:val="16"/>
              </w:rPr>
              <w:t>Tenaska</w:t>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Gleason</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b/>
                <w:sz w:val="20"/>
              </w:rPr>
              <w:t>$330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$150</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$240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$214</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$302</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$290</w:t>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$300.3</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$214.41</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6"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$252</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N/B</w:t>
            </w:r>
          </w:p>
        </w:tc>
        <w:tc>
          <w:tcPr>
            <w:tcW w:w="788"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N/B</w:t>
            </w:r>
          </w:p>
        </w:tc>
        <w:tc>
          <w:tcPr>
            <w:tcW w:w="783"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w:t>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Wheatland</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b/>
                <w:sz w:val="20"/>
              </w:rPr>
              <w:t>$284</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$224</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$192</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$276</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$205</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$235</w:t>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$280.9</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$135.459</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6"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$220</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8"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$206</w:t>
            </w:r>
          </w:p>
        </w:tc>
        <w:tc>
          <w:tcPr>
            <w:tcW w:w="783"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Lincoln</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b/>
                <w:sz w:val="20"/>
              </w:rPr>
              <w:t>$380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$270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$237</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$315</w:t>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$360.8</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$149.659</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6"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$292</w:t>
            </w:r>
            <w:r>
              <w:rPr>
                <w:rFonts w:ascii="Times New Roman" w:hAnsi="Times New Roman"/>
                <w:sz w:val="20"/>
                <w:vertAlign w:val="superscript"/>
              </w:rPr>
              <w:t>(15)</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8"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$284</w:t>
            </w:r>
          </w:p>
        </w:tc>
        <w:tc>
          <w:tcPr>
            <w:tcW w:w="783"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b/>
                <w:i/>
                <w:sz w:val="20"/>
              </w:rPr>
              <w:t>Peakers Total</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b/>
                <w:sz w:val="20"/>
              </w:rPr>
              <w:t>$994</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$676</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$815</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$850</w:t>
            </w:r>
            <w:r>
              <w:rPr>
                <w:rFonts w:ascii="Times New Roman" w:hAnsi="Times New Roman"/>
                <w:sz w:val="20"/>
                <w:vertAlign w:val="superscript"/>
              </w:rPr>
              <w:t>(6)</w:t>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$945.0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$499.528</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6"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$680</w:t>
            </w:r>
            <w:r>
              <w:rPr>
                <w:rFonts w:ascii="Times New Roman" w:hAnsi="Times New Roman"/>
                <w:sz w:val="20"/>
                <w:vertAlign w:val="superscript"/>
              </w:rPr>
              <w:t>(16)</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8"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$923</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3"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6"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8"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3"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LV Cogen</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$28</w:t>
            </w:r>
            <w:r>
              <w:rPr>
                <w:rFonts w:ascii="Times New Roman" w:hAnsi="Times New Roman"/>
                <w:sz w:val="20"/>
                <w:vertAlign w:val="superscript"/>
              </w:rPr>
              <w:t>(1)</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$15</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b/>
                <w:sz w:val="20"/>
              </w:rPr>
              <w:t>$37</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$26</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r>
              <w:rPr>
                <w:rFonts w:ascii="Times New Roman" w:hAnsi="Times New Roman"/>
                <w:sz w:val="20"/>
                <w:vertAlign w:val="superscript"/>
              </w:rPr>
              <w:t>(7)</w:t>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w:t>
            </w:r>
          </w:p>
        </w:tc>
        <w:tc>
          <w:tcPr>
            <w:tcW w:w="786"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 xml:space="preserve">N/B </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8"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3"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LV Cogen II</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$7</w:t>
            </w:r>
            <w:r>
              <w:rPr>
                <w:rFonts w:ascii="Times New Roman" w:hAnsi="Times New Roman"/>
                <w:sz w:val="20"/>
                <w:vertAlign w:val="superscript"/>
              </w:rPr>
              <w:t>(2)</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$13</w:t>
            </w:r>
            <w:r>
              <w:rPr>
                <w:rFonts w:ascii="Times New Roman" w:hAnsi="Times New Roman"/>
                <w:sz w:val="20"/>
                <w:vertAlign w:val="superscript"/>
              </w:rPr>
              <w:t>(3)</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b/>
                <w:sz w:val="20"/>
              </w:rPr>
              <w:t>$633.1</w:t>
            </w:r>
            <w:r>
              <w:rPr>
                <w:rFonts w:ascii="Times New Roman" w:hAnsi="Times New Roman"/>
                <w:b/>
                <w:sz w:val="20"/>
                <w:vertAlign w:val="superscript"/>
              </w:rPr>
              <w:t>(5)</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$14</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r>
              <w:rPr>
                <w:rFonts w:ascii="Times New Roman" w:hAnsi="Times New Roman"/>
                <w:sz w:val="20"/>
                <w:vertAlign w:val="superscript"/>
              </w:rPr>
              <w:t>(7)</w:t>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w:t>
            </w:r>
          </w:p>
        </w:tc>
        <w:tc>
          <w:tcPr>
            <w:tcW w:w="786"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8"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3"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b/>
                <w:i/>
                <w:sz w:val="20"/>
              </w:rPr>
              <w:t>LV Cogen Total</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$35</w:t>
            </w:r>
            <w:r>
              <w:rPr>
                <w:rFonts w:ascii="Times New Roman" w:hAnsi="Times New Roman"/>
                <w:sz w:val="20"/>
                <w:vertAlign w:val="superscript"/>
              </w:rPr>
              <w:t>(1)(2)</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$28</w:t>
            </w:r>
            <w:r>
              <w:rPr>
                <w:rFonts w:ascii="Times New Roman" w:hAnsi="Times New Roman"/>
                <w:sz w:val="20"/>
                <w:vertAlign w:val="superscript"/>
              </w:rPr>
              <w:t>(3)</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b/>
                <w:sz w:val="20"/>
              </w:rPr>
              <w:t>$725.1</w:t>
            </w:r>
            <w:r>
              <w:rPr>
                <w:rFonts w:ascii="Times New Roman" w:hAnsi="Times New Roman"/>
                <w:b/>
                <w:sz w:val="20"/>
                <w:vertAlign w:val="superscript"/>
              </w:rPr>
              <w:t>(5)</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$40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$18.6</w:t>
            </w:r>
            <w:r>
              <w:rPr>
                <w:rFonts w:ascii="Times New Roman" w:hAnsi="Times New Roman"/>
                <w:sz w:val="20"/>
                <w:vertAlign w:val="superscript"/>
              </w:rPr>
              <w:t>(21)</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$65.090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$7</w:t>
            </w:r>
            <w:r>
              <w:rPr>
                <w:rFonts w:ascii="Times New Roman" w:hAnsi="Times New Roman"/>
                <w:sz w:val="20"/>
                <w:vertAlign w:val="superscript"/>
              </w:rPr>
              <w:t>(11)</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$26.5</w:t>
            </w:r>
            <w:r>
              <w:rPr>
                <w:rFonts w:ascii="Times New Roman" w:hAnsi="Times New Roman"/>
                <w:sz w:val="20"/>
                <w:vertAlign w:val="superscript"/>
              </w:rPr>
              <w:t>(19)</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8"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$29.1</w:t>
            </w:r>
            <w:r>
              <w:rPr>
                <w:rFonts w:ascii="Times New Roman" w:hAnsi="Times New Roman"/>
                <w:sz w:val="20"/>
                <w:vertAlign w:val="superscript"/>
              </w:rPr>
              <w:t>(21)</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$51</w:t>
            </w:r>
            <w:r>
              <w:rPr>
                <w:rFonts w:ascii="Times New Roman" w:hAnsi="Times New Roman"/>
                <w:sz w:val="20"/>
                <w:vertAlign w:val="superscript"/>
              </w:rPr>
              <w:t>(22)</w:t>
            </w:r>
          </w:p>
        </w:tc>
        <w:tc>
          <w:tcPr>
            <w:tcW w:w="783"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b/>
                <w:i/>
                <w:i/>
                <w:sz w:val="20"/>
              </w:rPr>
            </w:pPr>
            <w:r>
              <w:rPr>
                <w:rFonts w:ascii="Times New Roman" w:hAnsi="Times New Roman"/>
                <w:b/>
                <w:i/>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b/>
                <w:sz w:val="20"/>
              </w:rPr>
            </w:pPr>
            <w:r>
              <w:rPr>
                <w:rFonts w:ascii="Times New Roman" w:hAnsi="Times New Roman"/>
                <w:b/>
                <w:sz w:val="20"/>
              </w:rPr>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6"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8"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3"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Pastoria</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$35</w:t>
            </w:r>
            <w:r>
              <w:rPr>
                <w:rFonts w:ascii="Times New Roman" w:hAnsi="Times New Roman"/>
                <w:sz w:val="20"/>
                <w:vertAlign w:val="superscript"/>
              </w:rPr>
              <w:t>(4)</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b/>
                <w:sz w:val="20"/>
              </w:rPr>
              <w:t>$633.1</w:t>
            </w:r>
            <w:r>
              <w:rPr>
                <w:rFonts w:ascii="Times New Roman" w:hAnsi="Times New Roman"/>
                <w:b/>
                <w:sz w:val="20"/>
                <w:vertAlign w:val="superscript"/>
              </w:rPr>
              <w:t>(5)</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$33</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$108</w:t>
            </w:r>
            <w:r>
              <w:rPr>
                <w:rFonts w:ascii="Times New Roman" w:hAnsi="Times New Roman"/>
                <w:sz w:val="20"/>
                <w:vertAlign w:val="superscript"/>
              </w:rPr>
              <w:t>(8)</w:t>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$37.5</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$20</w:t>
            </w:r>
            <w:r>
              <w:rPr>
                <w:rFonts w:ascii="Times New Roman" w:hAnsi="Times New Roman"/>
                <w:sz w:val="20"/>
                <w:vertAlign w:val="superscript"/>
              </w:rPr>
              <w:t>(10)</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$5.815</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100" w:after="100"/>
              <w:ind w:hanging="0" w:start="0" w:end="0"/>
              <w:jc w:val="center"/>
              <w:rPr/>
            </w:pPr>
            <w:r>
              <w:rPr>
                <w:rFonts w:ascii="Times New Roman" w:hAnsi="Times New Roman"/>
                <w:sz w:val="20"/>
              </w:rPr>
              <w:t>$40</w:t>
            </w:r>
            <w:r>
              <w:rPr>
                <w:rFonts w:ascii="Times New Roman" w:hAnsi="Times New Roman"/>
                <w:sz w:val="20"/>
                <w:vertAlign w:val="superscript"/>
              </w:rPr>
              <w:t>(12)</w:t>
            </w:r>
          </w:p>
        </w:tc>
        <w:tc>
          <w:tcPr>
            <w:tcW w:w="786"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 xml:space="preserve">$11.1 </w:t>
            </w:r>
            <w:r>
              <w:rPr>
                <w:rFonts w:ascii="Times New Roman" w:hAnsi="Times New Roman"/>
                <w:sz w:val="20"/>
                <w:vertAlign w:val="superscript"/>
              </w:rPr>
              <w:t>(17)</w:t>
            </w:r>
          </w:p>
        </w:tc>
        <w:tc>
          <w:tcPr>
            <w:tcW w:w="788"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 xml:space="preserve">$24.5 </w:t>
            </w:r>
            <w:r>
              <w:rPr>
                <w:rFonts w:ascii="Times New Roman" w:hAnsi="Times New Roman"/>
                <w:sz w:val="20"/>
                <w:vertAlign w:val="superscript"/>
              </w:rPr>
              <w:t>(18)</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 xml:space="preserve">$19.2 </w:t>
            </w:r>
            <w:r>
              <w:rPr>
                <w:rFonts w:ascii="Times New Roman" w:hAnsi="Times New Roman"/>
                <w:sz w:val="20"/>
                <w:vertAlign w:val="superscript"/>
              </w:rPr>
              <w:t>(18)</w:t>
            </w:r>
          </w:p>
        </w:tc>
        <w:tc>
          <w:tcPr>
            <w:tcW w:w="783" w:type="dxa"/>
            <w:tcBorders>
              <w:top w:val="single" w:sz="4" w:space="0" w:color="000000"/>
              <w:start w:val="single" w:sz="4" w:space="0" w:color="000000"/>
              <w:bottom w:val="single" w:sz="4" w:space="0" w:color="000000"/>
              <w:end w:val="single" w:sz="4" w:space="0" w:color="000000"/>
            </w:tcBorders>
          </w:tcPr>
          <w:p>
            <w:pPr>
              <w:pStyle w:val="Normal"/>
              <w:bidi w:val="0"/>
              <w:spacing w:before="100" w:after="100"/>
              <w:ind w:hanging="0" w:start="0" w:end="0"/>
              <w:jc w:val="center"/>
              <w:rPr/>
            </w:pPr>
            <w:r>
              <w:rPr>
                <w:rFonts w:ascii="Times New Roman" w:hAnsi="Times New Roman"/>
                <w:sz w:val="20"/>
              </w:rPr>
              <w:t>N/B</w:t>
            </w:r>
          </w:p>
        </w:tc>
      </w:tr>
      <w:tr>
        <w:trPr>
          <w:trHeight w:val="288" w:hRule="atLeast"/>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b/>
                <w:sz w:val="20"/>
              </w:rPr>
            </w:pPr>
            <w:r>
              <w:rPr>
                <w:rFonts w:ascii="Times New Roman" w:hAnsi="Times New Roman"/>
                <w:b/>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6"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8"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3"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r>
      <w:tr>
        <w:trPr>
          <w:cantSplit w:val="true"/>
        </w:trPr>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b/>
                <w:sz w:val="20"/>
              </w:rPr>
              <w:t>Portfolio Total</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$749</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104" w:end="-108"/>
              <w:jc w:val="center"/>
              <w:rPr/>
            </w:pPr>
            <w:r>
              <w:rPr>
                <w:rFonts w:ascii="Times New Roman" w:hAnsi="Times New Roman"/>
                <w:b/>
                <w:sz w:val="20"/>
              </w:rPr>
              <w:t>$1085</w:t>
            </w:r>
            <w:r>
              <w:rPr>
                <w:rFonts w:ascii="Times New Roman" w:hAnsi="Times New Roman"/>
                <w:b/>
                <w:sz w:val="20"/>
                <w:vertAlign w:val="superscript"/>
              </w:rPr>
              <w:t>(9)</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$570.433</w:t>
            </w:r>
          </w:p>
        </w:tc>
        <w:tc>
          <w:tcPr>
            <w:tcW w:w="7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s>
              <w:bidi w:val="0"/>
              <w:spacing w:before="100" w:after="100"/>
              <w:ind w:hanging="0" w:start="0" w:end="0"/>
              <w:jc w:val="center"/>
              <w:rPr/>
            </w:pPr>
            <w:r>
              <w:rPr>
                <w:rFonts w:ascii="Times New Roman" w:hAnsi="Times New Roman"/>
                <w:sz w:val="20"/>
              </w:rPr>
              <w:t>N/B</w:t>
            </w:r>
          </w:p>
        </w:tc>
        <w:tc>
          <w:tcPr>
            <w:tcW w:w="786"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rFonts w:ascii="Times New Roman" w:hAnsi="Times New Roman"/>
                <w:sz w:val="20"/>
              </w:rPr>
            </w:pPr>
            <w:r>
              <w:rPr>
                <w:rFonts w:ascii="Times New Roman" w:hAnsi="Times New Roman"/>
                <w:sz w:val="20"/>
              </w:rPr>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$750</w:t>
            </w:r>
            <w:r>
              <w:rPr>
                <w:rFonts w:ascii="Times New Roman" w:hAnsi="Times New Roman"/>
                <w:sz w:val="20"/>
                <w:vertAlign w:val="superscript"/>
              </w:rPr>
              <w:t>(14)</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N/B</w:t>
            </w:r>
          </w:p>
        </w:tc>
        <w:tc>
          <w:tcPr>
            <w:tcW w:w="788"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N/B</w:t>
            </w:r>
          </w:p>
        </w:tc>
        <w:tc>
          <w:tcPr>
            <w:tcW w:w="78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N/B</w:t>
            </w:r>
          </w:p>
        </w:tc>
        <w:tc>
          <w:tcPr>
            <w:tcW w:w="783"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before="100" w:after="100"/>
              <w:ind w:hanging="0" w:start="0" w:end="0"/>
              <w:jc w:val="center"/>
              <w:rPr/>
            </w:pPr>
            <w:r>
              <w:rPr>
                <w:rFonts w:ascii="Times New Roman" w:hAnsi="Times New Roman"/>
                <w:sz w:val="20"/>
              </w:rPr>
              <w:t xml:space="preserve">$950 </w:t>
            </w:r>
            <w:r>
              <w:rPr>
                <w:rFonts w:ascii="Times New Roman" w:hAnsi="Times New Roman"/>
                <w:sz w:val="20"/>
                <w:vertAlign w:val="superscript"/>
              </w:rPr>
              <w:t>(20)</w:t>
            </w:r>
          </w:p>
        </w:tc>
      </w:tr>
    </w:tbl>
    <w:p>
      <w:pPr>
        <w:pStyle w:val="Normal"/>
        <w:tabs>
          <w:tab w:val="clear" w:pos="720"/>
          <w:tab w:val="left" w:pos="360" w:leader="none"/>
        </w:tabs>
        <w:bidi w:val="0"/>
        <w:ind w:hanging="0" w:start="0" w:end="0"/>
        <w:jc w:val="start"/>
        <w:rPr>
          <w:rFonts w:ascii="Times New Roman" w:hAnsi="Times New Roman"/>
          <w:sz w:val="18"/>
        </w:rPr>
      </w:pPr>
      <w:r>
        <w:rPr>
          <w:rFonts w:ascii="Times New Roman" w:hAnsi="Times New Roman"/>
          <w:sz w:val="18"/>
        </w:rPr>
      </w:r>
    </w:p>
    <w:tbl>
      <w:tblPr>
        <w:tblW w:w="18360" w:type="dxa"/>
        <w:jc w:val="start"/>
        <w:tblInd w:w="288" w:type="dxa"/>
        <w:tblLayout w:type="fixed"/>
        <w:tblCellMar>
          <w:top w:w="0" w:type="dxa"/>
          <w:start w:w="108" w:type="dxa"/>
          <w:bottom w:w="0" w:type="dxa"/>
          <w:end w:w="108" w:type="dxa"/>
        </w:tblCellMar>
      </w:tblPr>
      <w:tblGrid>
        <w:gridCol w:w="6120"/>
        <w:gridCol w:w="6552"/>
        <w:gridCol w:w="5688"/>
      </w:tblGrid>
      <w:tr>
        <w:trPr>
          <w:trHeight w:val="2160" w:hRule="atLeast"/>
        </w:trPr>
        <w:tc>
          <w:tcPr>
            <w:tcW w:w="6120" w:type="dxa"/>
            <w:tcBorders/>
          </w:tcPr>
          <w:p>
            <w:pPr>
              <w:pStyle w:val="Normal"/>
              <w:tabs>
                <w:tab w:val="clear" w:pos="720"/>
                <w:tab w:val="left" w:pos="360" w:leader="none"/>
              </w:tabs>
              <w:bidi w:val="0"/>
              <w:ind w:hanging="0" w:start="0" w:end="0"/>
              <w:jc w:val="start"/>
              <w:rPr>
                <w:rFonts w:ascii="Times New Roman" w:hAnsi="Times New Roman"/>
                <w:sz w:val="14"/>
              </w:rPr>
            </w:pPr>
            <w:r>
              <w:rPr>
                <w:rFonts w:ascii="Times New Roman" w:hAnsi="Times New Roman"/>
                <w:sz w:val="14"/>
              </w:rPr>
              <w:t>* Bolded amounts represent highest bids in respective categories</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Exclusive of Sunco.</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Plus LV Cogen II incurred construction costs.</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 xml:space="preserve">Assumes bid amount of $13MM plus $5.4MM in development costs at time of sale for LV Cogen II. </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 xml:space="preserve">Plus $78.8MM in development costs at time of sale for Pastoria. </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 xml:space="preserve">Aggregate bid of $633.1MM for LV Cogen II and Pastoria, not broken down. </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 xml:space="preserve">Reflects a premium of $10MM if all three peaker plants are acquired as a package. </w:t>
            </w:r>
          </w:p>
          <w:p>
            <w:pPr>
              <w:pStyle w:val="Normal"/>
              <w:numPr>
                <w:ilvl w:val="0"/>
                <w:numId w:val="1"/>
              </w:numPr>
              <w:tabs>
                <w:tab w:val="clear" w:pos="720"/>
                <w:tab w:val="left" w:pos="432" w:leader="none"/>
              </w:tabs>
              <w:bidi w:val="0"/>
              <w:ind w:hanging="180" w:start="432" w:end="0"/>
              <w:jc w:val="start"/>
              <w:rPr/>
            </w:pPr>
            <w:r>
              <w:rPr>
                <w:rFonts w:ascii="Times New Roman" w:hAnsi="Times New Roman"/>
                <w:sz w:val="14"/>
              </w:rPr>
              <w:t>Although proposal does not cover Project LV, cover page of proposal mentions Project LV.</w:t>
            </w:r>
          </w:p>
        </w:tc>
        <w:tc>
          <w:tcPr>
            <w:tcW w:w="6552" w:type="dxa"/>
            <w:tcBorders/>
          </w:tcPr>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$187MM less $78.8MM in development costs.</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No breakdown of bid price for entire portfolio provided.</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Plus development expenses incurred by Enron prior to closing.</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 xml:space="preserve">Plus reimbursement of development costs and assumption of existing debt. </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Plus reimbursement of development costs.</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 xml:space="preserve">Bidder is interested in entire peakers, Project LV, and Pastoria; submitted Round I Proposal but elected to “withhold any discussion of financial consideration until Enron’s position on its continuing involvement is understood”. </w:t>
            </w:r>
          </w:p>
          <w:p>
            <w:pPr>
              <w:pStyle w:val="Normal"/>
              <w:numPr>
                <w:ilvl w:val="0"/>
                <w:numId w:val="1"/>
              </w:numPr>
              <w:tabs>
                <w:tab w:val="clear" w:pos="720"/>
                <w:tab w:val="left" w:pos="432" w:leader="none"/>
              </w:tabs>
              <w:bidi w:val="0"/>
              <w:ind w:hanging="180" w:start="432" w:end="0"/>
              <w:jc w:val="start"/>
              <w:rPr>
                <w:rFonts w:ascii="Times New Roman" w:hAnsi="Times New Roman"/>
                <w:sz w:val="14"/>
              </w:rPr>
            </w:pPr>
            <w:r>
              <w:rPr>
                <w:rFonts w:ascii="Times New Roman" w:hAnsi="Times New Roman"/>
                <w:sz w:val="14"/>
              </w:rPr>
              <w:t>Price for entire portfolio, not broken down.</w:t>
            </w:r>
          </w:p>
          <w:p>
            <w:pPr>
              <w:pStyle w:val="Normal"/>
              <w:numPr>
                <w:ilvl w:val="0"/>
                <w:numId w:val="1"/>
              </w:numPr>
              <w:tabs>
                <w:tab w:val="clear" w:pos="720"/>
                <w:tab w:val="left" w:pos="432" w:leader="none"/>
              </w:tabs>
              <w:bidi w:val="0"/>
              <w:ind w:hanging="180" w:start="432" w:end="0"/>
              <w:jc w:val="start"/>
              <w:rPr/>
            </w:pPr>
            <w:r>
              <w:rPr>
                <w:rFonts w:ascii="Times New Roman" w:hAnsi="Times New Roman"/>
                <w:sz w:val="14"/>
              </w:rPr>
              <w:t>Price for Lincoln alone verses package price.</w:t>
            </w:r>
          </w:p>
        </w:tc>
        <w:tc>
          <w:tcPr>
            <w:tcW w:w="5688" w:type="dxa"/>
            <w:tcBorders/>
          </w:tcPr>
          <w:p>
            <w:pPr>
              <w:pStyle w:val="Normal"/>
              <w:numPr>
                <w:ilvl w:val="0"/>
                <w:numId w:val="2"/>
              </w:numPr>
              <w:tabs>
                <w:tab w:val="clear" w:pos="720"/>
                <w:tab w:val="left" w:pos="389" w:leader="none"/>
              </w:tabs>
              <w:bidi w:val="0"/>
              <w:ind w:hanging="331" w:start="360" w:end="0"/>
              <w:jc w:val="start"/>
              <w:rPr>
                <w:rFonts w:ascii="Times New Roman" w:hAnsi="Times New Roman"/>
                <w:sz w:val="14"/>
              </w:rPr>
            </w:pPr>
            <w:r>
              <w:rPr>
                <w:rFonts w:ascii="Times New Roman" w:hAnsi="Times New Roman"/>
                <w:sz w:val="14"/>
              </w:rPr>
              <w:t>Price for all peakers (including Lincoln) not broken down per asset.</w:t>
            </w:r>
          </w:p>
          <w:p>
            <w:pPr>
              <w:pStyle w:val="Normal"/>
              <w:numPr>
                <w:ilvl w:val="0"/>
                <w:numId w:val="2"/>
              </w:numPr>
              <w:tabs>
                <w:tab w:val="clear" w:pos="720"/>
                <w:tab w:val="left" w:pos="389" w:leader="none"/>
              </w:tabs>
              <w:bidi w:val="0"/>
              <w:ind w:hanging="331" w:start="360" w:end="0"/>
              <w:jc w:val="start"/>
              <w:rPr>
                <w:rFonts w:ascii="Times New Roman" w:hAnsi="Times New Roman"/>
                <w:sz w:val="14"/>
              </w:rPr>
            </w:pPr>
            <w:r>
              <w:rPr>
                <w:rFonts w:ascii="Times New Roman" w:hAnsi="Times New Roman"/>
                <w:sz w:val="14"/>
              </w:rPr>
              <w:t xml:space="preserve">Plus $19.9MM reimbursement of equipment payments through date of sale and </w:t>
              <w:br/>
              <w:tab/>
              <w:t>$58.9MM reimbursement of development costs incurred through date of sale.</w:t>
            </w:r>
          </w:p>
          <w:p>
            <w:pPr>
              <w:pStyle w:val="Normal"/>
              <w:numPr>
                <w:ilvl w:val="0"/>
                <w:numId w:val="2"/>
              </w:numPr>
              <w:tabs>
                <w:tab w:val="clear" w:pos="720"/>
                <w:tab w:val="left" w:pos="389" w:leader="none"/>
              </w:tabs>
              <w:bidi w:val="0"/>
              <w:ind w:hanging="331" w:start="360" w:end="0"/>
              <w:jc w:val="start"/>
              <w:rPr>
                <w:rFonts w:ascii="Times New Roman" w:hAnsi="Times New Roman"/>
                <w:sz w:val="14"/>
              </w:rPr>
            </w:pPr>
            <w:r>
              <w:rPr>
                <w:rFonts w:ascii="Times New Roman" w:hAnsi="Times New Roman"/>
                <w:sz w:val="14"/>
              </w:rPr>
              <w:t>Plus $78.8MM development costs.</w:t>
            </w:r>
          </w:p>
          <w:p>
            <w:pPr>
              <w:pStyle w:val="Normal"/>
              <w:numPr>
                <w:ilvl w:val="0"/>
                <w:numId w:val="2"/>
              </w:numPr>
              <w:tabs>
                <w:tab w:val="clear" w:pos="720"/>
                <w:tab w:val="left" w:pos="389" w:leader="none"/>
              </w:tabs>
              <w:bidi w:val="0"/>
              <w:ind w:hanging="331" w:start="360" w:end="0"/>
              <w:jc w:val="start"/>
              <w:rPr>
                <w:rFonts w:ascii="Times New Roman" w:hAnsi="Times New Roman"/>
                <w:sz w:val="14"/>
              </w:rPr>
            </w:pPr>
            <w:r>
              <w:rPr>
                <w:rFonts w:ascii="Times New Roman" w:hAnsi="Times New Roman"/>
                <w:sz w:val="14"/>
              </w:rPr>
              <w:t>Plus assumption of $55MM of debt associated with LV Cogen I  net of LV Cogen II Capital Cost ($16.8MM) and Enron N.A. development costs ($5.4MM)</w:t>
            </w:r>
          </w:p>
          <w:p>
            <w:pPr>
              <w:pStyle w:val="Normal"/>
              <w:numPr>
                <w:ilvl w:val="0"/>
                <w:numId w:val="2"/>
              </w:numPr>
              <w:tabs>
                <w:tab w:val="clear" w:pos="720"/>
                <w:tab w:val="left" w:pos="378" w:leader="none"/>
              </w:tabs>
              <w:bidi w:val="0"/>
              <w:ind w:hanging="376" w:start="405" w:end="0"/>
              <w:jc w:val="start"/>
              <w:rPr>
                <w:rFonts w:ascii="Times New Roman" w:hAnsi="Times New Roman"/>
                <w:sz w:val="14"/>
              </w:rPr>
            </w:pPr>
            <w:r>
              <w:rPr>
                <w:rFonts w:ascii="Times New Roman" w:hAnsi="Times New Roman"/>
                <w:sz w:val="14"/>
              </w:rPr>
              <w:t xml:space="preserve">Price includes peakers plus 1999 peaker assets (Brownsville, Caledonia, New Albany). Although bidder did not have sufficient time to value and include in bid, Project LV and Pastoria, will be willing to discuss inclusion thereof.  </w:t>
            </w:r>
          </w:p>
          <w:p>
            <w:pPr>
              <w:pStyle w:val="Normal"/>
              <w:numPr>
                <w:ilvl w:val="0"/>
                <w:numId w:val="2"/>
              </w:numPr>
              <w:tabs>
                <w:tab w:val="clear" w:pos="720"/>
                <w:tab w:val="left" w:pos="405" w:leader="none"/>
              </w:tabs>
              <w:bidi w:val="0"/>
              <w:ind w:hanging="376" w:start="405" w:end="0"/>
              <w:jc w:val="start"/>
              <w:rPr>
                <w:rFonts w:ascii="Times New Roman" w:hAnsi="Times New Roman"/>
                <w:sz w:val="14"/>
              </w:rPr>
            </w:pPr>
            <w:r>
              <w:rPr>
                <w:rFonts w:ascii="Times New Roman" w:hAnsi="Times New Roman"/>
                <w:sz w:val="14"/>
              </w:rPr>
              <w:t>Plus $5.4MM in development costs for LV Cogen II and $55M of debt associated with LV Cogen I.</w:t>
            </w:r>
          </w:p>
          <w:p>
            <w:pPr>
              <w:pStyle w:val="Normal"/>
              <w:numPr>
                <w:ilvl w:val="0"/>
                <w:numId w:val="2"/>
              </w:numPr>
              <w:tabs>
                <w:tab w:val="clear" w:pos="720"/>
                <w:tab w:val="left" w:pos="405" w:leader="none"/>
              </w:tabs>
              <w:bidi w:val="0"/>
              <w:ind w:hanging="376" w:start="405" w:end="0"/>
              <w:jc w:val="start"/>
              <w:rPr/>
            </w:pPr>
            <w:r>
              <w:rPr>
                <w:rFonts w:ascii="Times New Roman" w:hAnsi="Times New Roman"/>
                <w:sz w:val="14"/>
              </w:rPr>
              <w:t>Net of $55MM of debt associated with LV  Cogen I.</w:t>
            </w:r>
          </w:p>
        </w:tc>
      </w:tr>
    </w:tbl>
    <w:p>
      <w:pPr>
        <w:pStyle w:val="Normal"/>
        <w:bidi w:val="0"/>
        <w:ind w:hanging="0" w:start="0" w:end="0"/>
        <w:jc w:val="start"/>
        <w:rPr/>
      </w:pPr>
      <w:r>
        <w:rPr/>
      </w:r>
    </w:p>
    <w:sectPr>
      <w:footerReference w:type="even" r:id="rId2"/>
      <w:footerReference w:type="default" r:id="rId3"/>
      <w:footerReference w:type="first" r:id="rId4"/>
      <w:type w:val="nextPage"/>
      <w:pgSz w:orient="landscape" w:w="20160" w:h="12240"/>
      <w:pgMar w:left="720" w:right="720" w:gutter="0" w:header="0" w:top="126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8"/>
      </w:rPr>
    </w:pPr>
    <w:r>
      <w:rPr>
        <w:sz w:val="18"/>
      </w:rPr>
      <w:fldChar w:fldCharType="begin"/>
    </w:r>
    <w:r>
      <w:rPr>
        <w:sz w:val="18"/>
      </w:rPr>
      <w:instrText xml:space="preserve"> FILENAME </w:instrText>
    </w:r>
    <w:r>
      <w:rPr>
        <w:sz w:val="18"/>
      </w:rPr>
      <w:fldChar w:fldCharType="separate"/>
    </w:r>
    <w:r>
      <w:rPr>
        <w:sz w:val="18"/>
      </w:rPr>
      <w:t>Round_I_Bids.rtf</w:t>
    </w:r>
    <w:r>
      <w:rP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8"/>
      </w:rPr>
    </w:pPr>
    <w:r>
      <w:rPr>
        <w:sz w:val="18"/>
      </w:rPr>
      <w:fldChar w:fldCharType="begin"/>
    </w:r>
    <w:r>
      <w:rPr>
        <w:sz w:val="18"/>
      </w:rPr>
      <w:instrText xml:space="preserve"> FILENAME </w:instrText>
    </w:r>
    <w:r>
      <w:rPr>
        <w:sz w:val="18"/>
      </w:rPr>
      <w:fldChar w:fldCharType="separate"/>
    </w:r>
    <w:r>
      <w:rPr>
        <w:sz w:val="18"/>
      </w:rPr>
      <w:t>Round_I_Bids.rtf</w:t>
    </w:r>
    <w:r>
      <w:rP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end"/>
      <w:pPr>
        <w:tabs>
          <w:tab w:val="num" w:pos="648"/>
        </w:tabs>
        <w:ind w:start="216" w:firstLine="72"/>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2">
    <w:lvl w:ilvl="0">
      <w:start w:val="16"/>
      <w:numFmt w:val="decimal"/>
      <w:lvlText w:val="(%1)"/>
      <w:lvlJc w:val="start"/>
      <w:pPr>
        <w:tabs>
          <w:tab w:val="num" w:pos="389"/>
        </w:tabs>
        <w:ind w:start="360" w:hanging="331"/>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Arial" w:hAnsi="Arial" w:eastAsia="Times New Roman" w:cs="Times New Roman"/>
      <w:color w:val="auto"/>
      <w:kern w:val="2"/>
      <w:sz w:val="22"/>
      <w:szCs w:val="24"/>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rFonts w:ascii="Arial" w:hAnsi="Arial"/>
      <w:sz w:val="22"/>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rFonts w:ascii="Arial" w:hAnsi="Arial"/>
      <w:sz w:val="22"/>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471</Words>
  <Characters>3302</Characters>
  <CharactersWithSpaces>2689</CharactersWithSpaces>
  <Company>Credit Suisse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2000-10-06T16:57:00Z</dcterms:created>
  <dc:creator>cathy zeising</dc:creator>
  <dc:description/>
  <dc:language>en-US</dc:language>
  <cp:lastModifiedBy/>
  <cp:lastPrinted>2000-10-06T16:53:00Z</cp:lastPrinted>
  <dcterms:modified xsi:type="dcterms:W3CDTF">2000-10-06T16:57:00Z</dcterms:modified>
  <cp:revision>2</cp:revision>
  <dc:subject/>
  <dc:title>Enron North America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rmodi</vt:lpwstr>
  </property>
</Properties>
</file>