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end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4"/>
          <w:numId w:val="1"/>
        </w:numPr>
        <w:rPr/>
      </w:pPr>
      <w:r>
        <w:rPr>
          <w:b/>
          <w:u w:val="single"/>
        </w:rPr>
        <w:t>Natural Gas Supply.</w:t>
      </w:r>
      <w:r>
        <w:rPr/>
        <w:t xml:space="preserve"> </w:t>
      </w:r>
    </w:p>
    <w:p>
      <w:pPr>
        <w:pStyle w:val="BodyText"/>
        <w:rPr/>
      </w:pPr>
      <w:r>
        <w:rPr/>
        <w:t xml:space="preserve">Roseville Energy Facility, LLC (“REF”) will negotiate short and long term natural gas supply and transportation contracts in order to best enhance the reliability and economic viability of the plant.  </w:t>
      </w:r>
    </w:p>
    <w:p>
      <w:pPr>
        <w:pStyle w:val="BodyText"/>
        <w:rPr/>
      </w:pPr>
      <w:r>
        <w:rPr/>
      </w:r>
    </w:p>
    <w:p>
      <w:pPr>
        <w:pStyle w:val="BodyText"/>
        <w:rPr/>
      </w:pPr>
      <w:r>
        <w:rPr/>
        <w:t>The REF has identified Pacific Gas &amp; Electric Co. to provide fuel gas transmission.  Interstate delivery capability into the PG&amp;E system is available via four existing pipelines: PG&amp;E Gas Transmission Northwest, El Paso Natural Gas Company, Transwestern Pipeline Co., and Kern River Gas Transmission Company. These pipelines are highly reliable sources.  In total they supply 7.3 Bcf/day of operationally available capacity to California, which, according to the U.S. Energy Information Administration, is adequate to meet current demand within the state.</w:t>
      </w:r>
      <w:r>
        <w:rPr>
          <w:rStyle w:val="EndnoteCharacters"/>
          <w:rStyle w:val="EndnoteReference"/>
        </w:rPr>
        <w:endnoteReference w:id="2"/>
      </w:r>
      <w:r>
        <w:rPr/>
        <w:t xml:space="preserve">  </w:t>
      </w:r>
    </w:p>
    <w:p>
      <w:pPr>
        <w:pStyle w:val="BodyText"/>
        <w:rPr/>
      </w:pPr>
      <w:r>
        <w:rPr/>
      </w:r>
    </w:p>
    <w:p>
      <w:pPr>
        <w:pStyle w:val="BodyText"/>
        <w:rPr/>
      </w:pPr>
      <w:r>
        <w:rPr/>
        <w:t>It is important to note that while demographic and industrial growth has recently strained this capacity, pipeline companies are rapidly responding to meet growing gas demand.  The CEC estimates that there is approximately 6.6 Bcf/day of announced interstate expansion capacity scheduled to be in service by 2011; 62% of which will be in service by late 2003.</w:t>
      </w:r>
      <w:r>
        <w:rPr>
          <w:rStyle w:val="EndnoteCharacters"/>
          <w:rStyle w:val="EndnoteReference"/>
        </w:rPr>
        <w:endnoteReference w:id="3"/>
      </w:r>
      <w:r>
        <w:rPr/>
        <w:t xml:space="preserve">   Two of these projects, the 135 MMcf/day Kern River expansion and the 230 MMcf/day El Paso Line 2000 project, will provide immediate additional operational capacity by this summer.  Furthermore, the proposed Ruby Pipeline project (late 2003) and the Calpine/Kinder Morgan Sonoran Phase II project (date to be determined) will add vital take-away capacity from the border to delivery points within the PG&amp;E system, and will supplement PG&amp;E’s 600 MMcf/day in in-state expansion plans.  Any of these projects could potentially supply fuel to the Roseville Energy Facility.  Taken as a whole, the capacity expansions will largely eliminate the risk of supply curtailment in the region, and will allow greater access to competitively priced gas supplies.</w:t>
      </w:r>
    </w:p>
    <w:p>
      <w:pPr>
        <w:pStyle w:val="BodyText"/>
        <w:rPr/>
      </w:pPr>
      <w:r>
        <w:rPr/>
      </w:r>
    </w:p>
    <w:p>
      <w:pPr>
        <w:pStyle w:val="BodyText"/>
        <w:rPr/>
      </w:pPr>
      <w:r>
        <w:rPr/>
        <w:t>In line with transport capacity, sufficient supplies of natural gas are projected to be available throughout the life of the project.  As stated in the CEC’s May 2001 draft report on natural gas infrastructure issues, natural gas supplies in North America appear to be sufficient to meet demand in California for the next 50 years.</w:t>
      </w:r>
      <w:r>
        <w:rPr>
          <w:rStyle w:val="EndnoteCharacters"/>
          <w:rStyle w:val="EndnoteReference"/>
        </w:rPr>
        <w:endnoteReference w:id="4"/>
      </w:r>
      <w:r>
        <w:rPr/>
        <w:t xml:space="preserve">  These supplies come from five major supply basins: the Western Canadian Sedimentary Basin, the Rocky Mountain Basin, the Anadarko Basin, the Permian Basin, and the San Juan Basin.  Proven reserve and growth estimates for the U.S. basins are as follow:</w:t>
      </w:r>
      <w:r>
        <w:rPr>
          <w:rStyle w:val="EndnoteCharacters"/>
          <w:rStyle w:val="EndnoteReference"/>
        </w:rPr>
        <w:endnoteReference w:id="5"/>
      </w:r>
      <w:r>
        <w:rPr>
          <w:vertAlign w:val="superscript"/>
        </w:rPr>
        <w:t>,</w:t>
      </w:r>
      <w:r>
        <w:rPr/>
        <w:t xml:space="preserve"> </w:t>
      </w:r>
      <w:r>
        <w:rPr>
          <w:rStyle w:val="EndnoteCharacters"/>
          <w:rStyle w:val="EndnoteReference"/>
        </w:rPr>
        <w:endnoteReference w:id="6"/>
      </w:r>
    </w:p>
    <w:p>
      <w:pPr>
        <w:pStyle w:val="BodyText"/>
        <w:rPr/>
      </w:pPr>
      <w:r>
        <w:rPr/>
      </w:r>
    </w:p>
    <w:p>
      <w:pPr>
        <w:pStyle w:val="BodyText"/>
        <w:rPr/>
      </w:pPr>
      <w:r>
        <w:rPr/>
        <w:t>All Figures in TCF</w:t>
      </w:r>
    </w:p>
    <w:tbl>
      <w:tblPr>
        <w:tblW w:w="8748" w:type="dxa"/>
        <w:jc w:val="start"/>
        <w:tblInd w:w="108" w:type="dxa"/>
        <w:tblLayout w:type="fixed"/>
        <w:tblCellMar>
          <w:top w:w="0" w:type="dxa"/>
          <w:start w:w="108" w:type="dxa"/>
          <w:bottom w:w="0" w:type="dxa"/>
          <w:end w:w="108" w:type="dxa"/>
        </w:tblCellMar>
      </w:tblPr>
      <w:tblGrid>
        <w:gridCol w:w="2687"/>
        <w:gridCol w:w="1851"/>
        <w:gridCol w:w="1851"/>
        <w:gridCol w:w="2359"/>
      </w:tblGrid>
      <w:tr>
        <w:trPr/>
        <w:tc>
          <w:tcPr>
            <w:tcW w:w="2687" w:type="dxa"/>
            <w:tcBorders>
              <w:top w:val="single" w:sz="12" w:space="0" w:color="008000"/>
              <w:bottom w:val="single" w:sz="6" w:space="0" w:color="008000"/>
            </w:tcBorders>
          </w:tcPr>
          <w:p>
            <w:pPr>
              <w:pStyle w:val="BodyText"/>
              <w:rPr>
                <w:b/>
                <w:bCs/>
                <w:sz w:val="20"/>
              </w:rPr>
            </w:pPr>
            <w:r>
              <w:rPr>
                <w:b/>
                <w:bCs/>
                <w:sz w:val="20"/>
              </w:rPr>
              <w:t>Supply Region</w:t>
            </w:r>
          </w:p>
        </w:tc>
        <w:tc>
          <w:tcPr>
            <w:tcW w:w="1851" w:type="dxa"/>
            <w:tcBorders>
              <w:top w:val="single" w:sz="12" w:space="0" w:color="008000"/>
              <w:bottom w:val="single" w:sz="6" w:space="0" w:color="008000"/>
            </w:tcBorders>
          </w:tcPr>
          <w:p>
            <w:pPr>
              <w:pStyle w:val="BodyText"/>
              <w:rPr>
                <w:b/>
                <w:bCs/>
                <w:sz w:val="20"/>
              </w:rPr>
            </w:pPr>
            <w:r>
              <w:rPr>
                <w:b/>
                <w:bCs/>
                <w:sz w:val="20"/>
              </w:rPr>
              <w:t>Proved Reserves</w:t>
            </w:r>
          </w:p>
        </w:tc>
        <w:tc>
          <w:tcPr>
            <w:tcW w:w="1851" w:type="dxa"/>
            <w:tcBorders>
              <w:top w:val="single" w:sz="12" w:space="0" w:color="008000"/>
              <w:bottom w:val="single" w:sz="6" w:space="0" w:color="008000"/>
            </w:tcBorders>
          </w:tcPr>
          <w:p>
            <w:pPr>
              <w:pStyle w:val="BodyText"/>
              <w:jc w:val="start"/>
              <w:rPr>
                <w:b/>
                <w:bCs/>
                <w:sz w:val="20"/>
              </w:rPr>
            </w:pPr>
            <w:r>
              <w:rPr>
                <w:b/>
                <w:bCs/>
                <w:sz w:val="20"/>
              </w:rPr>
              <w:t>Potential Reserves</w:t>
            </w:r>
          </w:p>
        </w:tc>
        <w:tc>
          <w:tcPr>
            <w:tcW w:w="2359" w:type="dxa"/>
            <w:tcBorders>
              <w:top w:val="single" w:sz="12" w:space="0" w:color="008000"/>
              <w:bottom w:val="single" w:sz="6" w:space="0" w:color="008000"/>
            </w:tcBorders>
          </w:tcPr>
          <w:p>
            <w:pPr>
              <w:pStyle w:val="BodyText"/>
              <w:jc w:val="start"/>
              <w:rPr>
                <w:b/>
                <w:bCs/>
                <w:sz w:val="20"/>
              </w:rPr>
            </w:pPr>
            <w:r>
              <w:rPr>
                <w:b/>
                <w:bCs/>
                <w:sz w:val="20"/>
              </w:rPr>
              <w:t>Reserve Growth Through 2020</w:t>
            </w:r>
          </w:p>
        </w:tc>
      </w:tr>
      <w:tr>
        <w:trPr/>
        <w:tc>
          <w:tcPr>
            <w:tcW w:w="2687" w:type="dxa"/>
            <w:tcBorders>
              <w:top w:val="single" w:sz="6" w:space="0" w:color="008000"/>
            </w:tcBorders>
          </w:tcPr>
          <w:p>
            <w:pPr>
              <w:pStyle w:val="BodyText"/>
              <w:rPr>
                <w:sz w:val="20"/>
              </w:rPr>
            </w:pPr>
            <w:r>
              <w:rPr>
                <w:sz w:val="20"/>
              </w:rPr>
              <w:t>Anadarko</w:t>
            </w:r>
          </w:p>
        </w:tc>
        <w:tc>
          <w:tcPr>
            <w:tcW w:w="1851" w:type="dxa"/>
            <w:tcBorders>
              <w:top w:val="single" w:sz="6" w:space="0" w:color="008000"/>
            </w:tcBorders>
          </w:tcPr>
          <w:p>
            <w:pPr>
              <w:pStyle w:val="BodyText"/>
              <w:rPr>
                <w:sz w:val="20"/>
              </w:rPr>
            </w:pPr>
            <w:r>
              <w:rPr>
                <w:sz w:val="20"/>
              </w:rPr>
              <w:t>28.087</w:t>
            </w:r>
          </w:p>
        </w:tc>
        <w:tc>
          <w:tcPr>
            <w:tcW w:w="1851" w:type="dxa"/>
            <w:tcBorders>
              <w:top w:val="single" w:sz="6" w:space="0" w:color="008000"/>
            </w:tcBorders>
          </w:tcPr>
          <w:p>
            <w:pPr>
              <w:pStyle w:val="BodyText"/>
              <w:rPr>
                <w:sz w:val="20"/>
              </w:rPr>
            </w:pPr>
            <w:r>
              <w:rPr>
                <w:sz w:val="20"/>
              </w:rPr>
              <w:t>23.135</w:t>
            </w:r>
          </w:p>
        </w:tc>
        <w:tc>
          <w:tcPr>
            <w:tcW w:w="2359" w:type="dxa"/>
            <w:tcBorders>
              <w:top w:val="single" w:sz="6" w:space="0" w:color="008000"/>
            </w:tcBorders>
          </w:tcPr>
          <w:p>
            <w:pPr>
              <w:pStyle w:val="BodyText"/>
              <w:rPr>
                <w:sz w:val="20"/>
              </w:rPr>
            </w:pPr>
            <w:r>
              <w:rPr>
                <w:sz w:val="20"/>
              </w:rPr>
              <w:t>52.745</w:t>
            </w:r>
          </w:p>
        </w:tc>
      </w:tr>
      <w:tr>
        <w:trPr/>
        <w:tc>
          <w:tcPr>
            <w:tcW w:w="2687" w:type="dxa"/>
            <w:tcBorders/>
          </w:tcPr>
          <w:p>
            <w:pPr>
              <w:pStyle w:val="BodyText"/>
              <w:rPr>
                <w:sz w:val="20"/>
              </w:rPr>
            </w:pPr>
            <w:r>
              <w:rPr>
                <w:sz w:val="20"/>
              </w:rPr>
              <w:t>Permian</w:t>
            </w:r>
          </w:p>
        </w:tc>
        <w:tc>
          <w:tcPr>
            <w:tcW w:w="1851" w:type="dxa"/>
            <w:tcBorders/>
          </w:tcPr>
          <w:p>
            <w:pPr>
              <w:pStyle w:val="BodyText"/>
              <w:rPr>
                <w:sz w:val="20"/>
              </w:rPr>
            </w:pPr>
            <w:r>
              <w:rPr>
                <w:sz w:val="20"/>
              </w:rPr>
              <w:t>14.463</w:t>
            </w:r>
          </w:p>
        </w:tc>
        <w:tc>
          <w:tcPr>
            <w:tcW w:w="1851" w:type="dxa"/>
            <w:tcBorders/>
          </w:tcPr>
          <w:p>
            <w:pPr>
              <w:pStyle w:val="BodyText"/>
              <w:rPr>
                <w:sz w:val="20"/>
              </w:rPr>
            </w:pPr>
            <w:r>
              <w:rPr>
                <w:sz w:val="20"/>
              </w:rPr>
              <w:t>20.418</w:t>
            </w:r>
          </w:p>
        </w:tc>
        <w:tc>
          <w:tcPr>
            <w:tcW w:w="2359" w:type="dxa"/>
            <w:tcBorders/>
          </w:tcPr>
          <w:p>
            <w:pPr>
              <w:pStyle w:val="BodyText"/>
              <w:rPr>
                <w:sz w:val="20"/>
              </w:rPr>
            </w:pPr>
            <w:r>
              <w:rPr>
                <w:sz w:val="20"/>
              </w:rPr>
              <w:t>7.436</w:t>
            </w:r>
          </w:p>
        </w:tc>
      </w:tr>
      <w:tr>
        <w:trPr/>
        <w:tc>
          <w:tcPr>
            <w:tcW w:w="2687" w:type="dxa"/>
            <w:tcBorders/>
          </w:tcPr>
          <w:p>
            <w:pPr>
              <w:pStyle w:val="BodyText"/>
              <w:rPr>
                <w:sz w:val="20"/>
              </w:rPr>
            </w:pPr>
            <w:r>
              <w:rPr>
                <w:sz w:val="20"/>
              </w:rPr>
              <w:t>Rocky Mountains</w:t>
            </w:r>
          </w:p>
        </w:tc>
        <w:tc>
          <w:tcPr>
            <w:tcW w:w="1851" w:type="dxa"/>
            <w:tcBorders/>
          </w:tcPr>
          <w:p>
            <w:pPr>
              <w:pStyle w:val="BodyText"/>
              <w:rPr>
                <w:sz w:val="20"/>
              </w:rPr>
            </w:pPr>
            <w:r>
              <w:rPr>
                <w:sz w:val="20"/>
              </w:rPr>
              <w:t>15.028</w:t>
            </w:r>
          </w:p>
        </w:tc>
        <w:tc>
          <w:tcPr>
            <w:tcW w:w="1851" w:type="dxa"/>
            <w:tcBorders/>
          </w:tcPr>
          <w:p>
            <w:pPr>
              <w:pStyle w:val="BodyText"/>
              <w:rPr>
                <w:sz w:val="20"/>
              </w:rPr>
            </w:pPr>
            <w:r>
              <w:rPr>
                <w:sz w:val="20"/>
              </w:rPr>
              <w:t>168.854</w:t>
            </w:r>
          </w:p>
        </w:tc>
        <w:tc>
          <w:tcPr>
            <w:tcW w:w="2359" w:type="dxa"/>
            <w:tcBorders/>
          </w:tcPr>
          <w:p>
            <w:pPr>
              <w:pStyle w:val="BodyText"/>
              <w:rPr>
                <w:sz w:val="20"/>
              </w:rPr>
            </w:pPr>
            <w:r>
              <w:rPr>
                <w:sz w:val="20"/>
              </w:rPr>
              <w:t>27.073</w:t>
            </w:r>
          </w:p>
        </w:tc>
      </w:tr>
      <w:tr>
        <w:trPr/>
        <w:tc>
          <w:tcPr>
            <w:tcW w:w="2687" w:type="dxa"/>
            <w:tcBorders/>
          </w:tcPr>
          <w:p>
            <w:pPr>
              <w:pStyle w:val="BodyText"/>
              <w:rPr>
                <w:sz w:val="20"/>
              </w:rPr>
            </w:pPr>
            <w:r>
              <w:rPr>
                <w:sz w:val="20"/>
              </w:rPr>
              <w:t>San Juan</w:t>
            </w:r>
          </w:p>
        </w:tc>
        <w:tc>
          <w:tcPr>
            <w:tcW w:w="1851" w:type="dxa"/>
            <w:tcBorders/>
          </w:tcPr>
          <w:p>
            <w:pPr>
              <w:pStyle w:val="BodyText"/>
              <w:rPr>
                <w:sz w:val="20"/>
              </w:rPr>
            </w:pPr>
            <w:r>
              <w:rPr>
                <w:sz w:val="20"/>
              </w:rPr>
              <w:t>18.630</w:t>
            </w:r>
          </w:p>
        </w:tc>
        <w:tc>
          <w:tcPr>
            <w:tcW w:w="1851" w:type="dxa"/>
            <w:tcBorders/>
          </w:tcPr>
          <w:p>
            <w:pPr>
              <w:pStyle w:val="BodyText"/>
              <w:rPr>
                <w:sz w:val="20"/>
              </w:rPr>
            </w:pPr>
            <w:r>
              <w:rPr>
                <w:sz w:val="20"/>
              </w:rPr>
              <w:t>52.480</w:t>
            </w:r>
          </w:p>
        </w:tc>
        <w:tc>
          <w:tcPr>
            <w:tcW w:w="2359" w:type="dxa"/>
            <w:tcBorders/>
          </w:tcPr>
          <w:p>
            <w:pPr>
              <w:pStyle w:val="BodyText"/>
              <w:rPr>
                <w:sz w:val="20"/>
              </w:rPr>
            </w:pPr>
            <w:r>
              <w:rPr>
                <w:sz w:val="20"/>
              </w:rPr>
              <w:t>8.456</w:t>
            </w:r>
          </w:p>
        </w:tc>
      </w:tr>
      <w:tr>
        <w:trPr/>
        <w:tc>
          <w:tcPr>
            <w:tcW w:w="2687" w:type="dxa"/>
            <w:tcBorders>
              <w:bottom w:val="single" w:sz="12" w:space="0" w:color="008000"/>
            </w:tcBorders>
          </w:tcPr>
          <w:p>
            <w:pPr>
              <w:pStyle w:val="BodyText"/>
              <w:rPr>
                <w:sz w:val="20"/>
              </w:rPr>
            </w:pPr>
            <w:r>
              <w:rPr>
                <w:sz w:val="20"/>
              </w:rPr>
              <w:t>Total US Lower 48</w:t>
            </w:r>
          </w:p>
        </w:tc>
        <w:tc>
          <w:tcPr>
            <w:tcW w:w="1851" w:type="dxa"/>
            <w:tcBorders>
              <w:bottom w:val="single" w:sz="12" w:space="0" w:color="008000"/>
            </w:tcBorders>
          </w:tcPr>
          <w:p>
            <w:pPr>
              <w:pStyle w:val="BodyText"/>
              <w:rPr>
                <w:sz w:val="20"/>
              </w:rPr>
            </w:pPr>
            <w:r>
              <w:rPr>
                <w:sz w:val="20"/>
              </w:rPr>
              <w:t>151.570</w:t>
            </w:r>
          </w:p>
        </w:tc>
        <w:tc>
          <w:tcPr>
            <w:tcW w:w="1851" w:type="dxa"/>
            <w:tcBorders>
              <w:bottom w:val="single" w:sz="12" w:space="0" w:color="008000"/>
            </w:tcBorders>
          </w:tcPr>
          <w:p>
            <w:pPr>
              <w:pStyle w:val="BodyText"/>
              <w:rPr>
                <w:sz w:val="20"/>
              </w:rPr>
            </w:pPr>
            <w:r>
              <w:rPr>
                <w:sz w:val="20"/>
              </w:rPr>
              <w:t>639.340</w:t>
            </w:r>
          </w:p>
        </w:tc>
        <w:tc>
          <w:tcPr>
            <w:tcW w:w="2359" w:type="dxa"/>
            <w:tcBorders>
              <w:bottom w:val="single" w:sz="12" w:space="0" w:color="008000"/>
            </w:tcBorders>
          </w:tcPr>
          <w:p>
            <w:pPr>
              <w:pStyle w:val="BodyText"/>
              <w:rPr>
                <w:sz w:val="20"/>
              </w:rPr>
            </w:pPr>
            <w:r>
              <w:rPr>
                <w:sz w:val="20"/>
              </w:rPr>
              <w:t>184.139</w:t>
            </w:r>
          </w:p>
        </w:tc>
      </w:tr>
    </w:tbl>
    <w:p>
      <w:pPr>
        <w:pStyle w:val="BodyText"/>
        <w:rPr/>
      </w:pPr>
      <w:r>
        <w:rPr/>
      </w:r>
    </w:p>
    <w:p>
      <w:pPr>
        <w:pStyle w:val="BodyText"/>
        <w:rPr/>
      </w:pPr>
      <w:r>
        <w:rPr/>
        <w:t xml:space="preserve">In summary, the Roseville Energy Facility will benefit from robust fuel supply economics.  While recent events have focused on localized bottlenecks within the pipeline transportation system, the medium and long-term capacity outlook will see significant additions to capacity both to and within California.  The additions will be supported by a positive U.S. natural gas supply outlook through 2020.  </w:t>
      </w:r>
    </w:p>
    <w:p>
      <w:pPr>
        <w:pStyle w:val="BodyText"/>
        <w:rPr/>
      </w:pPr>
      <w:r>
        <w:rPr/>
      </w:r>
    </w:p>
    <w:sectPr>
      <w:endnotePr>
        <w:pos w:val="sectEnd"/>
        <w:numFmt w:val="lowerRoman"/>
      </w:end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tabs>
          <w:tab w:val="clear" w:pos="720"/>
          <w:tab w:val="left" w:pos="180" w:leader="none"/>
        </w:tabs>
        <w:ind w:hanging="180" w:start="180" w:end="0"/>
        <w:rPr/>
      </w:pPr>
      <w:r>
        <w:rPr>
          <w:rStyle w:val="EndnoteCharacters"/>
        </w:rPr>
        <w:endnoteRef/>
      </w:r>
      <w:r>
        <w:rPr/>
        <w:t xml:space="preserve"> </w:t>
      </w:r>
      <w:r>
        <w:rPr/>
        <w:t xml:space="preserve">U.S. Energy Information Administration, </w:t>
      </w:r>
      <w:r>
        <w:rPr>
          <w:u w:val="single"/>
        </w:rPr>
        <w:t>Electricity Shortage in California: Issues for Petroleum and Natural Gas Supply</w:t>
      </w:r>
      <w:r>
        <w:rPr/>
        <w:t xml:space="preserve">, June 2001.  See section 6 on Natural Gas.  Available on-line at </w:t>
      </w:r>
      <w:hyperlink r:id="rId1">
        <w:r>
          <w:rPr>
            <w:rStyle w:val="Hyperlink"/>
          </w:rPr>
          <w:t>http://www.eia.doe.gov/emeu/steo/pub/special/california/june01article/caelec.html</w:t>
        </w:r>
      </w:hyperlink>
      <w:r>
        <w:rPr/>
        <w:t xml:space="preserve">.  </w:t>
      </w:r>
    </w:p>
  </w:endnote>
  <w:endnote w:id="3">
    <w:p>
      <w:pPr>
        <w:pStyle w:val="EndnoteText"/>
        <w:tabs>
          <w:tab w:val="clear" w:pos="720"/>
          <w:tab w:val="left" w:pos="180" w:leader="none"/>
        </w:tabs>
        <w:ind w:hanging="180" w:start="180" w:end="0"/>
        <w:rPr/>
      </w:pPr>
      <w:r>
        <w:rPr>
          <w:rStyle w:val="EndnoteCharacters"/>
        </w:rPr>
        <w:endnoteRef/>
      </w:r>
      <w:r>
        <w:rPr/>
        <w:t xml:space="preserve"> </w:t>
      </w:r>
      <w:r>
        <w:rPr/>
        <w:t xml:space="preserve">California Energy Commission, </w:t>
      </w:r>
      <w:r>
        <w:rPr>
          <w:u w:val="single"/>
        </w:rPr>
        <w:t>Natural Gas Infrastructure Issues</w:t>
      </w:r>
      <w:r>
        <w:rPr/>
        <w:t xml:space="preserve"> page 15.</w:t>
      </w:r>
    </w:p>
  </w:endnote>
  <w:endnote w:id="4">
    <w:p>
      <w:pPr>
        <w:pStyle w:val="EndnoteText"/>
        <w:tabs>
          <w:tab w:val="clear" w:pos="720"/>
          <w:tab w:val="left" w:pos="180" w:leader="none"/>
        </w:tabs>
        <w:ind w:hanging="180" w:start="180" w:end="0"/>
        <w:rPr/>
      </w:pPr>
      <w:r>
        <w:rPr>
          <w:rStyle w:val="EndnoteCharacters"/>
        </w:rPr>
        <w:endnoteRef/>
      </w:r>
      <w:r>
        <w:rPr/>
        <w:t xml:space="preserve">  </w:t>
      </w:r>
      <w:r>
        <w:rPr/>
        <w:t xml:space="preserve">California Energy Commission, </w:t>
      </w:r>
      <w:r>
        <w:rPr>
          <w:u w:val="single"/>
        </w:rPr>
        <w:t>Natural Gas Infrastructure Issues</w:t>
      </w:r>
      <w:r>
        <w:rPr/>
        <w:t xml:space="preserve">, May 2001. Page 7.  Available on-line at </w:t>
      </w:r>
      <w:hyperlink r:id="rId2">
        <w:r>
          <w:rPr>
            <w:rStyle w:val="Hyperlink"/>
          </w:rPr>
          <w:t>http://www.energy.ca.gov/reports/2001-05-22_200-01-001.PDF</w:t>
        </w:r>
      </w:hyperlink>
      <w:r>
        <w:rPr/>
        <w:t xml:space="preserve">.  Assumption is based on a report by the U.S. Geological Survey, </w:t>
      </w:r>
      <w:r>
        <w:rPr>
          <w:u w:val="single"/>
        </w:rPr>
        <w:t>1995 National Assessment of United States Oil and Gas Resources</w:t>
      </w:r>
      <w:r>
        <w:rPr/>
        <w:t xml:space="preserve">.  Available on-line at </w:t>
      </w:r>
      <w:hyperlink r:id="rId3">
        <w:r>
          <w:rPr>
            <w:rStyle w:val="Hyperlink"/>
          </w:rPr>
          <w:t>http://greenwood.cr.usgs.gov/energy/execsum.html</w:t>
        </w:r>
      </w:hyperlink>
      <w:r>
        <w:rPr/>
        <w:t xml:space="preserve"> </w:t>
      </w:r>
    </w:p>
  </w:endnote>
  <w:endnote w:id="5">
    <w:p>
      <w:pPr>
        <w:pStyle w:val="EndnoteText"/>
        <w:tabs>
          <w:tab w:val="clear" w:pos="720"/>
          <w:tab w:val="left" w:pos="180" w:leader="none"/>
        </w:tabs>
        <w:ind w:hanging="180" w:start="180" w:end="0"/>
        <w:rPr/>
      </w:pPr>
      <w:r>
        <w:rPr>
          <w:rStyle w:val="EndnoteCharacters"/>
        </w:rPr>
        <w:endnoteRef/>
      </w:r>
      <w:r>
        <w:rPr/>
        <w:t xml:space="preserve"> </w:t>
      </w:r>
      <w:r>
        <w:rPr/>
        <w:t xml:space="preserve">California Energy Commission, </w:t>
      </w:r>
      <w:r>
        <w:rPr>
          <w:u w:val="single"/>
        </w:rPr>
        <w:t>Natural Gas Market Outlook</w:t>
      </w:r>
      <w:r>
        <w:rPr/>
        <w:t xml:space="preserve">, June 1998.  See Tables 6, 7, and 8.  The report is available on-line at </w:t>
      </w:r>
      <w:hyperlink r:id="rId4">
        <w:r>
          <w:rPr>
            <w:rStyle w:val="Hyperlink"/>
          </w:rPr>
          <w:t>http://38.144.192.166/reports/98_natural_gas_outlook.html</w:t>
        </w:r>
      </w:hyperlink>
      <w:r>
        <w:rPr/>
        <w:t xml:space="preserve">.    </w:t>
      </w:r>
    </w:p>
  </w:endnote>
  <w:endnote w:id="6">
    <w:p>
      <w:pPr>
        <w:pStyle w:val="EndnoteText"/>
        <w:tabs>
          <w:tab w:val="clear" w:pos="720"/>
          <w:tab w:val="left" w:pos="180" w:leader="none"/>
        </w:tabs>
        <w:ind w:hanging="180" w:start="180" w:end="0"/>
        <w:rPr/>
      </w:pPr>
      <w:r>
        <w:rPr>
          <w:rStyle w:val="EndnoteCharacters"/>
        </w:rPr>
        <w:endnoteRef/>
      </w:r>
      <w:r>
        <w:rPr/>
        <w:t xml:space="preserve"> </w:t>
      </w:r>
      <w:r>
        <w:rPr/>
        <w:t xml:space="preserve">Enron has performed cursory analysis confirming the total lower 48 reserve data.  According to the EIA’s 2001 Annual Energy Outlook, U.S. lower 48 total dry natural gas reserves will increase from 157.4 Tcf in 1999 to 190.1 Tcf in 2020 (Table 81 of the report).  Production numbers also follow the trend with mid-continent production increasing from 2.61 Tcf to 4.20 Tcf, southwest production increasing from 1.53 to 2.47 Tcf, Rockies increasing from 2.85 Tcf to 5.97 Tcf, and West Coast production increasing from .30 Tcf to .42 Tcf (Table 80 of the report). Imports from Canada increase from 3.33 Tcf to 5.50 over the same period (Table 82 of the report).   The data tables are available on line at </w:t>
      </w:r>
      <w:hyperlink r:id="rId5">
        <w:r>
          <w:rPr>
            <w:rStyle w:val="Hyperlink"/>
          </w:rPr>
          <w:t>http://www.eia.doe.gov/oiaf/aeo/supplement/sup_ogc.pdf</w:t>
        </w:r>
      </w:hyperlink>
      <w:r>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1440"/>
        </w:tabs>
        <w:ind w:start="1440" w:hanging="1440"/>
      </w:pPr>
      <w:rPr>
        <w:b/>
      </w:rPr>
    </w:lvl>
    <w:lvl w:ilvl="1">
      <w:start w:val="9"/>
      <w:numFmt w:val="decimal"/>
      <w:lvlText w:val="%1.%2"/>
      <w:lvlJc w:val="start"/>
      <w:pPr>
        <w:tabs>
          <w:tab w:val="num" w:pos="1440"/>
        </w:tabs>
        <w:ind w:start="1440" w:hanging="1440"/>
      </w:pPr>
      <w:rPr>
        <w:b/>
      </w:rPr>
    </w:lvl>
    <w:lvl w:ilvl="2">
      <w:start w:val="2"/>
      <w:numFmt w:val="decimal"/>
      <w:lvlText w:val="%1.%2.%3"/>
      <w:lvlJc w:val="start"/>
      <w:pPr>
        <w:tabs>
          <w:tab w:val="num" w:pos="1440"/>
        </w:tabs>
        <w:ind w:start="1440" w:hanging="1440"/>
      </w:pPr>
      <w:rPr>
        <w:b/>
      </w:rPr>
    </w:lvl>
    <w:lvl w:ilvl="3">
      <w:start w:val="6"/>
      <w:numFmt w:val="decimal"/>
      <w:lvlText w:val="%1.%2.%3.%4"/>
      <w:lvlJc w:val="start"/>
      <w:pPr>
        <w:tabs>
          <w:tab w:val="num" w:pos="1440"/>
        </w:tabs>
        <w:ind w:start="1440" w:hanging="1440"/>
      </w:pPr>
      <w:rPr>
        <w:b/>
      </w:rPr>
    </w:lvl>
    <w:lvl w:ilvl="4">
      <w:start w:val="3"/>
      <w:numFmt w:val="decimal"/>
      <w:lvlText w:val="%1.%2.%3.%4.%5"/>
      <w:lvlJc w:val="start"/>
      <w:pPr>
        <w:tabs>
          <w:tab w:val="num" w:pos="1440"/>
        </w:tabs>
        <w:ind w:start="1440" w:hanging="144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ndnotePr>
    <w:pos w:val="sectEnd"/>
    <w:numFmt w:val="lowerRoman"/>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64"/>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EndnoteText">
    <w:name w:val="end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www.eia.doe.gov/emeu/steo/pub/special/california/june01article/caelec.html" TargetMode="External"/><Relationship Id="rId2" Type="http://schemas.openxmlformats.org/officeDocument/2006/relationships/hyperlink" Target="http://www.energy.ca.gov/reports/2001-05-22_200-01-001.PDF" TargetMode="External"/><Relationship Id="rId3" Type="http://schemas.openxmlformats.org/officeDocument/2006/relationships/hyperlink" Target="http://greenwood.cr.usgs.gov/energy/execsum.html" TargetMode="External"/><Relationship Id="rId4" Type="http://schemas.openxmlformats.org/officeDocument/2006/relationships/hyperlink" Target="http://38.144.192.166/reports/98_natural_gas_outlook.html" TargetMode="External"/><Relationship Id="rId5" Type="http://schemas.openxmlformats.org/officeDocument/2006/relationships/hyperlink" Target="http://www.eia.doe.gov/oiaf/aeo/supplement/sup_ogc.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2001-06-19T11:20:00Z</dcterms:created>
  <dc:creator>mfilling</dc:creator>
  <dc:description/>
  <dc:language>en-CA</dc:language>
  <cp:lastModifiedBy>Philip Polsky</cp:lastModifiedBy>
  <cp:lastPrinted>2001-06-19T16:49:00Z</cp:lastPrinted>
  <dcterms:modified xsi:type="dcterms:W3CDTF">2001-06-20T15:51:00Z</dcterms:modified>
  <cp:revision>12</cp:revision>
  <dc:subject/>
  <dc:title>3</dc:title>
</cp:coreProperties>
</file>