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b/>
          <w:sz w:val="36"/>
          <w:lang w:val="en-CA"/>
        </w:rPr>
      </w:pPr>
      <w:r>
        <w:rPr>
          <w:b/>
          <w:sz w:val="36"/>
          <w:lang w:val="en-CA"/>
        </w:rPr>
        <w:drawing>
          <wp:anchor behindDoc="0" distT="0" distB="0" distL="114935" distR="114935" simplePos="0" locked="0" layoutInCell="1" allowOverlap="1" relativeHeight="11">
            <wp:simplePos x="0" y="0"/>
            <wp:positionH relativeFrom="column">
              <wp:posOffset>1508760</wp:posOffset>
            </wp:positionH>
            <wp:positionV relativeFrom="paragraph">
              <wp:posOffset>82550</wp:posOffset>
            </wp:positionV>
            <wp:extent cx="2332355" cy="233235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5" t="-15" r="-15" b="-15"/>
                    <a:stretch>
                      <a:fillRect/>
                    </a:stretch>
                  </pic:blipFill>
                  <pic:spPr bwMode="auto">
                    <a:xfrm>
                      <a:off x="0" y="0"/>
                      <a:ext cx="2332355" cy="2332355"/>
                    </a:xfrm>
                    <a:prstGeom prst="rect">
                      <a:avLst/>
                    </a:prstGeom>
                    <a:noFill/>
                  </pic:spPr>
                </pic:pic>
              </a:graphicData>
            </a:graphic>
          </wp:anchor>
        </w:drawing>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BodyText2"/>
        <w:rPr>
          <w:b w:val="false"/>
        </w:rPr>
      </w:pPr>
      <w:r>
        <w:rPr/>
        <w:t>Discussion Paper on Electricity Market Design</w:t>
      </w:r>
    </w:p>
    <w:p>
      <w:pPr>
        <w:pStyle w:val="Normal"/>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t>August 2000</w:t>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r>
        <w:br w:type="page"/>
      </w:r>
    </w:p>
    <w:p>
      <w:pPr>
        <w:pStyle w:val="Normal"/>
        <w:widowControl w:val="false"/>
        <w:jc w:val="both"/>
        <w:rPr>
          <w:b/>
          <w:sz w:val="24"/>
        </w:rPr>
      </w:pPr>
      <w:r>
        <w:rPr>
          <w:b/>
          <w:sz w:val="24"/>
        </w:rPr>
      </w:r>
    </w:p>
    <w:tbl>
      <w:tblPr>
        <w:tblW w:w="8658" w:type="dxa"/>
        <w:jc w:val="start"/>
        <w:tblInd w:w="0" w:type="dxa"/>
        <w:tblLayout w:type="fixed"/>
        <w:tblCellMar>
          <w:top w:w="0" w:type="dxa"/>
          <w:start w:w="108" w:type="dxa"/>
          <w:bottom w:w="0" w:type="dxa"/>
          <w:end w:w="108" w:type="dxa"/>
        </w:tblCellMar>
      </w:tblPr>
      <w:tblGrid>
        <w:gridCol w:w="3798"/>
        <w:gridCol w:w="4860"/>
      </w:tblGrid>
      <w:tr>
        <w:trPr/>
        <w:tc>
          <w:tcPr>
            <w:tcW w:w="3798" w:type="dxa"/>
            <w:tcBorders/>
          </w:tcPr>
          <w:p>
            <w:pPr>
              <w:pStyle w:val="Heading1"/>
              <w:snapToGrid w:val="false"/>
              <w:ind w:hanging="0" w:start="0"/>
              <w:rPr/>
            </w:pPr>
            <w:r>
              <w:rPr/>
            </w:r>
          </w:p>
          <w:p>
            <w:pPr>
              <w:pStyle w:val="Heading1"/>
              <w:ind w:hanging="0" w:start="0"/>
              <w:rPr/>
            </w:pPr>
            <w:r>
              <w:rPr/>
              <w:t>Purpose of the paper</w:t>
            </w:r>
          </w:p>
        </w:tc>
        <w:tc>
          <w:tcPr>
            <w:tcW w:w="4860" w:type="dxa"/>
            <w:tcBorders>
              <w:top w:val="single" w:sz="4" w:space="0" w:color="000000"/>
              <w:bottom w:val="single" w:sz="4" w:space="0" w:color="000000"/>
            </w:tcBorders>
          </w:tcPr>
          <w:p>
            <w:pPr>
              <w:pStyle w:val="Normal"/>
              <w:snapToGrid w:val="false"/>
              <w:ind w:start="180" w:end="0"/>
              <w:jc w:val="both"/>
              <w:rPr>
                <w:sz w:val="24"/>
              </w:rPr>
            </w:pPr>
            <w:r>
              <w:rPr>
                <w:sz w:val="24"/>
              </w:rPr>
            </w:r>
          </w:p>
          <w:p>
            <w:pPr>
              <w:pStyle w:val="BlockText"/>
              <w:rPr/>
            </w:pPr>
            <w:r>
              <w:rPr/>
              <w:t>This paper has the following 3 objectives:</w:t>
            </w:r>
          </w:p>
          <w:p>
            <w:pPr>
              <w:pStyle w:val="BlockText"/>
              <w:rPr/>
            </w:pPr>
            <w:r>
              <w:rPr/>
            </w:r>
          </w:p>
          <w:p>
            <w:pPr>
              <w:pStyle w:val="BlockText"/>
              <w:numPr>
                <w:ilvl w:val="0"/>
                <w:numId w:val="3"/>
              </w:numPr>
              <w:tabs>
                <w:tab w:val="clear" w:pos="720"/>
                <w:tab w:val="left" w:pos="540" w:leader="none"/>
              </w:tabs>
              <w:ind w:hanging="360" w:start="540" w:end="144"/>
              <w:rPr/>
            </w:pPr>
            <w:r>
              <w:rPr/>
              <w:t>To identify the fundamental issues surrounding electricity market design.</w:t>
            </w:r>
          </w:p>
          <w:p>
            <w:pPr>
              <w:pStyle w:val="BlockText"/>
              <w:numPr>
                <w:ilvl w:val="0"/>
                <w:numId w:val="3"/>
              </w:numPr>
              <w:tabs>
                <w:tab w:val="clear" w:pos="720"/>
                <w:tab w:val="left" w:pos="540" w:leader="none"/>
              </w:tabs>
              <w:ind w:hanging="360" w:start="540" w:end="144"/>
              <w:rPr/>
            </w:pPr>
            <w:r>
              <w:rPr/>
              <w:t>To propose a fundamental change in the way market design is looked at.</w:t>
            </w:r>
          </w:p>
          <w:p>
            <w:pPr>
              <w:pStyle w:val="BlockText"/>
              <w:numPr>
                <w:ilvl w:val="0"/>
                <w:numId w:val="6"/>
              </w:numPr>
              <w:tabs>
                <w:tab w:val="clear" w:pos="720"/>
                <w:tab w:val="left" w:pos="540" w:leader="none"/>
              </w:tabs>
              <w:ind w:hanging="360" w:start="540" w:end="144"/>
              <w:rPr/>
            </w:pPr>
            <w:r>
              <w:rPr/>
              <w:t>Make recommendations about what Enron’s corporate position on these issues should be.</w:t>
            </w:r>
          </w:p>
          <w:p>
            <w:pPr>
              <w:pStyle w:val="BlockText"/>
              <w:rPr/>
            </w:pPr>
            <w:r>
              <w:rPr/>
            </w:r>
          </w:p>
          <w:p>
            <w:pPr>
              <w:pStyle w:val="BlockText"/>
              <w:ind w:start="162" w:end="144"/>
              <w:rPr/>
            </w:pPr>
            <w:r>
              <w:rPr/>
              <w:t>Any recommendations should be viewed as a catalyst for debate rather than developed positions.</w:t>
            </w:r>
          </w:p>
          <w:p>
            <w:pPr>
              <w:pStyle w:val="Normal"/>
              <w:ind w:start="180" w:end="0"/>
              <w:jc w:val="both"/>
              <w:rPr>
                <w:sz w:val="24"/>
              </w:rPr>
            </w:pPr>
            <w:r>
              <w:rPr>
                <w:sz w:val="24"/>
              </w:rPr>
            </w:r>
          </w:p>
        </w:tc>
      </w:tr>
    </w:tbl>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Introduction – it is timely for Enron to consider its corporate position on electricity market design</w:t>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BodyTextIndent2"/>
              <w:rPr/>
            </w:pPr>
            <w:r>
              <w:rPr/>
              <w:t>Currently, the design of electricity markets is taking place in ERCOT, SPP, and the Midwest. Hopefully, design initiatives will begin in Florida and the Carolinas in the near future. Additionally, the MOU between the four Northeastern electricity pools has the potential to create a “mega” market.  These processes, in conjunction with ongoing design changes in California, PJM, NEPOOL, and New York will have a significant effect on outcomes in the market, including specific performances by individual companies.  As a result, it is timely for Enron to consider its corporate view towards design issues.</w:t>
            </w:r>
          </w:p>
          <w:p>
            <w:pPr>
              <w:pStyle w:val="Normal"/>
              <w:jc w:val="both"/>
              <w:rPr>
                <w:sz w:val="24"/>
              </w:rPr>
            </w:pPr>
            <w:r>
              <w:rPr>
                <w:sz w:val="24"/>
              </w:rPr>
            </w:r>
          </w:p>
          <w:p>
            <w:pPr>
              <w:pStyle w:val="Normal"/>
              <w:ind w:start="162" w:end="0"/>
              <w:jc w:val="both"/>
              <w:rPr>
                <w:sz w:val="24"/>
              </w:rPr>
            </w:pPr>
            <w:r>
              <w:rPr>
                <w:sz w:val="24"/>
              </w:rPr>
              <w:t xml:space="preserve">On a more macro level, technological changes will continue to fundamentally alter the commercial environment. As the energy market becomes more interdependent, dynamic, and competitive, regulatory regimes and processes will be forced to change – with the likely effect that Governments will increase their attention on specific market design issues as direct control through regulation is reduced. </w:t>
            </w:r>
          </w:p>
          <w:p>
            <w:pPr>
              <w:pStyle w:val="Normal"/>
              <w:ind w:start="162" w:end="0"/>
              <w:jc w:val="both"/>
              <w:rPr>
                <w:sz w:val="24"/>
              </w:rPr>
            </w:pPr>
            <w:r>
              <w:rPr>
                <w:sz w:val="24"/>
              </w:rPr>
              <w:t xml:space="preserve"> </w:t>
            </w:r>
          </w:p>
        </w:tc>
      </w:tr>
    </w:tbl>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Four basic concepts – storage, externalities, common goods, property rights</w:t>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Normal"/>
              <w:ind w:end="144"/>
              <w:jc w:val="both"/>
              <w:rPr>
                <w:sz w:val="24"/>
              </w:rPr>
            </w:pPr>
            <w:r>
              <w:rPr>
                <w:sz w:val="24"/>
              </w:rPr>
              <w:t>When discussing electricity it is easy to be either captured or, at the very least, intimidated by either the “unique” characteristics of the commodity or the language used by industry practitioners.  With respect to the former the key issues that concern market design are as follows:</w:t>
            </w:r>
          </w:p>
          <w:p>
            <w:pPr>
              <w:pStyle w:val="Normal"/>
              <w:ind w:end="144"/>
              <w:jc w:val="both"/>
              <w:rPr>
                <w:sz w:val="24"/>
              </w:rPr>
            </w:pPr>
            <w:r>
              <w:rPr>
                <w:sz w:val="24"/>
              </w:rPr>
            </w:r>
          </w:p>
          <w:p>
            <w:pPr>
              <w:pStyle w:val="Normal"/>
              <w:numPr>
                <w:ilvl w:val="0"/>
                <w:numId w:val="8"/>
              </w:numPr>
              <w:ind w:hanging="360" w:start="360" w:end="144"/>
              <w:jc w:val="both"/>
              <w:rPr>
                <w:sz w:val="24"/>
              </w:rPr>
            </w:pPr>
            <w:r>
              <w:rPr>
                <w:sz w:val="24"/>
              </w:rPr>
              <w:t>Electricity cannot be stored – generation and usage are instantaneous.</w:t>
            </w:r>
            <w:r>
              <w:rPr>
                <w:rStyle w:val="FootnoteCharacters"/>
                <w:rStyle w:val="FootnoteReference"/>
                <w:sz w:val="24"/>
              </w:rPr>
              <w:footnoteReference w:id="2"/>
            </w:r>
          </w:p>
          <w:p>
            <w:pPr>
              <w:pStyle w:val="Normal"/>
              <w:ind w:end="144"/>
              <w:jc w:val="both"/>
              <w:rPr>
                <w:sz w:val="24"/>
              </w:rPr>
            </w:pPr>
            <w:r>
              <w:rPr>
                <w:sz w:val="24"/>
              </w:rPr>
            </w:r>
          </w:p>
          <w:p>
            <w:pPr>
              <w:pStyle w:val="Normal"/>
              <w:numPr>
                <w:ilvl w:val="0"/>
                <w:numId w:val="4"/>
              </w:numPr>
              <w:ind w:hanging="360" w:start="360" w:end="144"/>
              <w:jc w:val="both"/>
              <w:rPr>
                <w:sz w:val="24"/>
              </w:rPr>
            </w:pPr>
            <w:r>
              <w:rPr>
                <w:sz w:val="24"/>
              </w:rPr>
              <w:t xml:space="preserve">Electricity production, transport and consumption are characterized by what economists call </w:t>
            </w:r>
            <w:r>
              <w:rPr>
                <w:b/>
                <w:i/>
                <w:sz w:val="24"/>
              </w:rPr>
              <w:t>externalities</w:t>
            </w:r>
            <w:r>
              <w:rPr>
                <w:sz w:val="24"/>
              </w:rPr>
              <w:t>.  In simple terms, the actions of one connected party will usually have an external effect on other parties.</w:t>
            </w:r>
          </w:p>
          <w:p>
            <w:pPr>
              <w:pStyle w:val="Normal"/>
              <w:ind w:end="144"/>
              <w:jc w:val="both"/>
              <w:rPr>
                <w:sz w:val="24"/>
              </w:rPr>
            </w:pPr>
            <w:r>
              <w:rPr>
                <w:sz w:val="24"/>
              </w:rPr>
            </w:r>
          </w:p>
          <w:p>
            <w:pPr>
              <w:pStyle w:val="Normal"/>
              <w:numPr>
                <w:ilvl w:val="0"/>
                <w:numId w:val="4"/>
              </w:numPr>
              <w:ind w:hanging="360" w:start="360" w:end="144"/>
              <w:jc w:val="both"/>
              <w:rPr>
                <w:sz w:val="24"/>
              </w:rPr>
            </w:pPr>
            <w:r>
              <w:rPr>
                <w:sz w:val="24"/>
              </w:rPr>
              <w:t xml:space="preserve">Because the consumption of some electricity “products” by one user does not affect the quantity available to others and because it isn’t possible to stop a connected user from receiving those benefits, many electricity products can be classified as </w:t>
            </w:r>
            <w:r>
              <w:rPr>
                <w:b/>
                <w:i/>
                <w:sz w:val="24"/>
              </w:rPr>
              <w:t>“common” or “public” goods</w:t>
            </w:r>
            <w:r>
              <w:rPr>
                <w:sz w:val="24"/>
              </w:rPr>
              <w:t>.  For example, it isn’t possible to stop any connected user from receiving the benefit of responsive reserve in arresting a frequency decline.</w:t>
            </w:r>
          </w:p>
          <w:p>
            <w:pPr>
              <w:pStyle w:val="Normal"/>
              <w:ind w:end="144"/>
              <w:jc w:val="both"/>
              <w:rPr>
                <w:sz w:val="24"/>
              </w:rPr>
            </w:pPr>
            <w:r>
              <w:rPr>
                <w:sz w:val="24"/>
              </w:rPr>
            </w:r>
          </w:p>
          <w:p>
            <w:pPr>
              <w:pStyle w:val="Normal"/>
              <w:numPr>
                <w:ilvl w:val="0"/>
                <w:numId w:val="4"/>
              </w:numPr>
              <w:ind w:hanging="360" w:start="360" w:end="144"/>
              <w:jc w:val="both"/>
              <w:rPr>
                <w:sz w:val="24"/>
              </w:rPr>
            </w:pPr>
            <w:r>
              <w:rPr>
                <w:sz w:val="24"/>
              </w:rPr>
              <w:t xml:space="preserve">The nature of network production makes it difficult, if not impossible to define </w:t>
            </w:r>
            <w:r>
              <w:rPr>
                <w:b/>
                <w:i/>
                <w:sz w:val="24"/>
              </w:rPr>
              <w:t>property rights</w:t>
            </w:r>
            <w:r>
              <w:rPr>
                <w:sz w:val="24"/>
              </w:rPr>
              <w:t>.</w:t>
            </w:r>
            <w:r>
              <w:rPr>
                <w:rStyle w:val="FootnoteCharacters"/>
                <w:rStyle w:val="FootnoteReference"/>
                <w:sz w:val="24"/>
              </w:rPr>
              <w:footnoteReference w:id="3"/>
            </w:r>
          </w:p>
          <w:p>
            <w:pPr>
              <w:pStyle w:val="Normal"/>
              <w:jc w:val="both"/>
              <w:rPr>
                <w:sz w:val="24"/>
              </w:rPr>
            </w:pPr>
            <w:r>
              <w:rPr>
                <w:sz w:val="24"/>
              </w:rPr>
              <w:t xml:space="preserve"> </w:t>
            </w:r>
          </w:p>
        </w:tc>
      </w:tr>
    </w:tbl>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Implications for market design from these four concepts</w:t>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Normal"/>
              <w:ind w:start="162" w:end="144"/>
              <w:jc w:val="both"/>
              <w:rPr>
                <w:sz w:val="24"/>
              </w:rPr>
            </w:pPr>
            <w:r>
              <w:rPr>
                <w:sz w:val="24"/>
              </w:rPr>
              <w:t>These four “facts” affect, to a greater or lesser extent, both the design and operation of an electricity market.  Specifically,</w:t>
            </w:r>
          </w:p>
          <w:p>
            <w:pPr>
              <w:pStyle w:val="Normal"/>
              <w:ind w:start="162" w:end="144"/>
              <w:jc w:val="both"/>
              <w:rPr>
                <w:sz w:val="24"/>
              </w:rPr>
            </w:pPr>
            <w:r>
              <w:rPr>
                <w:sz w:val="24"/>
              </w:rPr>
            </w:r>
          </w:p>
          <w:p>
            <w:pPr>
              <w:pStyle w:val="Normal"/>
              <w:numPr>
                <w:ilvl w:val="0"/>
                <w:numId w:val="5"/>
              </w:numPr>
              <w:tabs>
                <w:tab w:val="clear" w:pos="720"/>
                <w:tab w:val="left" w:pos="522" w:leader="none"/>
              </w:tabs>
              <w:ind w:hanging="360" w:start="522" w:end="144"/>
              <w:jc w:val="both"/>
              <w:rPr>
                <w:sz w:val="24"/>
              </w:rPr>
            </w:pPr>
            <w:r>
              <w:rPr>
                <w:sz w:val="24"/>
              </w:rPr>
              <w:t xml:space="preserve">Since both generation and usage occur simultaneously, there are limits on how well the </w:t>
            </w:r>
            <w:r>
              <w:rPr>
                <w:b/>
                <w:i/>
                <w:sz w:val="24"/>
              </w:rPr>
              <w:t>price mechanism can direct resources in real time</w:t>
            </w:r>
            <w:r>
              <w:rPr>
                <w:sz w:val="24"/>
              </w:rPr>
              <w:t>, i.e. there is a need for a centralized decision-making structure.</w:t>
            </w:r>
          </w:p>
          <w:p>
            <w:pPr>
              <w:pStyle w:val="Normal"/>
              <w:ind w:end="144"/>
              <w:jc w:val="both"/>
              <w:rPr>
                <w:sz w:val="24"/>
              </w:rPr>
            </w:pPr>
            <w:r>
              <w:rPr>
                <w:sz w:val="24"/>
              </w:rPr>
            </w:r>
          </w:p>
          <w:p>
            <w:pPr>
              <w:pStyle w:val="Normal"/>
              <w:numPr>
                <w:ilvl w:val="0"/>
                <w:numId w:val="5"/>
              </w:numPr>
              <w:tabs>
                <w:tab w:val="clear" w:pos="720"/>
                <w:tab w:val="left" w:pos="522" w:leader="none"/>
              </w:tabs>
              <w:ind w:hanging="360" w:start="522" w:end="144"/>
              <w:jc w:val="both"/>
              <w:rPr>
                <w:sz w:val="24"/>
              </w:rPr>
            </w:pPr>
            <w:r>
              <w:rPr>
                <w:sz w:val="24"/>
              </w:rPr>
              <w:t>The existence of externalities is one reason for vertically integrating activities into a single entity – thereby capturing all the external effects (i.e. internalizing the benefits and costs) and easing the costs of decision-making.  Externalities also make physical bilateral contracting difficult and create an incentive for multilateral contracting.  Finally, the existence of externalities reinforces the need for a centralized decision-making structure in real time.</w:t>
            </w:r>
          </w:p>
          <w:p>
            <w:pPr>
              <w:pStyle w:val="Normal"/>
              <w:ind w:end="144"/>
              <w:jc w:val="both"/>
              <w:rPr>
                <w:sz w:val="24"/>
              </w:rPr>
            </w:pPr>
            <w:r>
              <w:rPr>
                <w:sz w:val="24"/>
              </w:rPr>
            </w:r>
          </w:p>
          <w:p>
            <w:pPr>
              <w:pStyle w:val="Normal"/>
              <w:numPr>
                <w:ilvl w:val="0"/>
                <w:numId w:val="5"/>
              </w:numPr>
              <w:tabs>
                <w:tab w:val="clear" w:pos="720"/>
                <w:tab w:val="left" w:pos="522" w:leader="none"/>
              </w:tabs>
              <w:ind w:hanging="360" w:start="522" w:end="144"/>
              <w:jc w:val="both"/>
              <w:rPr>
                <w:sz w:val="24"/>
              </w:rPr>
            </w:pPr>
            <w:r>
              <w:rPr>
                <w:sz w:val="24"/>
              </w:rPr>
              <w:t>The “common” good aspect of certain products (e.g. ancillary services) means that pure decentralized market mechanisms, which rely on defined property rights, will fail to provide (or pay) the appropriate amount.</w:t>
            </w:r>
          </w:p>
          <w:p>
            <w:pPr>
              <w:pStyle w:val="Normal"/>
              <w:ind w:end="144"/>
              <w:jc w:val="both"/>
              <w:rPr>
                <w:sz w:val="24"/>
              </w:rPr>
            </w:pPr>
            <w:r>
              <w:rPr>
                <w:sz w:val="24"/>
              </w:rPr>
            </w:r>
          </w:p>
          <w:p>
            <w:pPr>
              <w:pStyle w:val="Normal"/>
              <w:numPr>
                <w:ilvl w:val="0"/>
                <w:numId w:val="5"/>
              </w:numPr>
              <w:tabs>
                <w:tab w:val="clear" w:pos="720"/>
                <w:tab w:val="left" w:pos="522" w:leader="none"/>
              </w:tabs>
              <w:ind w:hanging="360" w:start="522" w:end="144"/>
              <w:jc w:val="both"/>
              <w:rPr>
                <w:sz w:val="24"/>
              </w:rPr>
            </w:pPr>
            <w:r>
              <w:rPr>
                <w:sz w:val="24"/>
              </w:rPr>
              <w:t>Since markets require the existence of well-defined and enforceable property rights, the extent to which these rights are either incomplete or undefined will limit the ability of prices to guide decision-making.</w:t>
            </w:r>
          </w:p>
          <w:p>
            <w:pPr>
              <w:pStyle w:val="Normal"/>
              <w:jc w:val="both"/>
              <w:rPr>
                <w:sz w:val="24"/>
              </w:rPr>
            </w:pPr>
            <w:r>
              <w:rPr>
                <w:sz w:val="24"/>
              </w:rPr>
            </w:r>
          </w:p>
        </w:tc>
      </w:tr>
    </w:tbl>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 xml:space="preserve">Primary objective of market design from a commercial perspective </w:t>
            </w:r>
            <w:r>
              <w:rPr>
                <w:i/>
              </w:rPr>
              <w:t>– keep the government out.</w:t>
            </w:r>
          </w:p>
          <w:p>
            <w:pPr>
              <w:pStyle w:val="Normal"/>
              <w:rPr/>
            </w:pPr>
            <w:r>
              <w:rPr/>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Normal"/>
              <w:ind w:start="162" w:end="144"/>
              <w:jc w:val="both"/>
              <w:rPr>
                <w:sz w:val="24"/>
              </w:rPr>
            </w:pPr>
            <w:r>
              <w:rPr>
                <w:sz w:val="24"/>
              </w:rPr>
              <w:t>Capable commercial players will be able to earn revenues in almost any market environment. Specific design details, while important to revenues, will potentially be overcome by adept commercial strategies.</w:t>
            </w:r>
          </w:p>
          <w:p>
            <w:pPr>
              <w:pStyle w:val="Normal"/>
              <w:ind w:start="162" w:end="144"/>
              <w:jc w:val="both"/>
              <w:rPr>
                <w:sz w:val="24"/>
              </w:rPr>
            </w:pPr>
            <w:r>
              <w:rPr>
                <w:sz w:val="24"/>
              </w:rPr>
            </w:r>
          </w:p>
          <w:p>
            <w:pPr>
              <w:pStyle w:val="Normal"/>
              <w:ind w:start="162" w:end="144"/>
              <w:jc w:val="both"/>
              <w:rPr>
                <w:sz w:val="24"/>
              </w:rPr>
            </w:pPr>
            <w:r>
              <w:rPr>
                <w:sz w:val="24"/>
              </w:rPr>
              <w:t>The single biggest risk in these emerging markets is posed by government intervention – either through re-regulation or changes in legislation.  This is largely an unmanageable risk since it cannot be priced or hedged. Thus, from a practical commercial standpoint the most important aspect of design is that outcomes from the market limit the potential for government intervention. Ideally the design should also actively move the market away from government intervention.</w:t>
            </w:r>
            <w:r>
              <w:rPr>
                <w:rStyle w:val="FootnoteCharacters"/>
                <w:rStyle w:val="FootnoteReference"/>
                <w:sz w:val="24"/>
              </w:rPr>
              <w:footnoteReference w:id="4"/>
            </w:r>
          </w:p>
          <w:p>
            <w:pPr>
              <w:pStyle w:val="Normal"/>
              <w:ind w:start="162" w:end="144"/>
              <w:jc w:val="both"/>
              <w:rPr>
                <w:sz w:val="24"/>
              </w:rPr>
            </w:pPr>
            <w:r>
              <w:rPr>
                <w:sz w:val="24"/>
              </w:rPr>
            </w:r>
          </w:p>
          <w:p>
            <w:pPr>
              <w:pStyle w:val="Normal"/>
              <w:ind w:start="162" w:end="144"/>
              <w:jc w:val="both"/>
              <w:rPr>
                <w:sz w:val="24"/>
              </w:rPr>
            </w:pPr>
            <w:r>
              <w:rPr>
                <w:sz w:val="24"/>
              </w:rPr>
              <w:t>In the long run it is a better strategy to develop a market that will be free from government intervention than to rely on the government to “solve” the problem – an activity that they are incapable of doing, but all to willing to engage in.</w:t>
            </w:r>
          </w:p>
          <w:p>
            <w:pPr>
              <w:pStyle w:val="Normal"/>
              <w:jc w:val="both"/>
              <w:rPr>
                <w:sz w:val="24"/>
              </w:rPr>
            </w:pPr>
            <w:r>
              <w:rPr>
                <w:sz w:val="24"/>
              </w:rPr>
            </w:r>
          </w:p>
        </w:tc>
      </w:tr>
    </w:tbl>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Limiting government intervention</w:t>
            </w:r>
          </w:p>
          <w:p>
            <w:pPr>
              <w:pStyle w:val="Normal"/>
              <w:rPr/>
            </w:pPr>
            <w:r>
              <w:rPr/>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Normal"/>
              <w:ind w:start="162" w:end="144"/>
              <w:jc w:val="both"/>
              <w:rPr>
                <w:sz w:val="24"/>
              </w:rPr>
            </w:pPr>
            <w:r>
              <w:rPr>
                <w:sz w:val="24"/>
              </w:rPr>
              <w:t>The best way to keep government out of the market is to make sure that it “works.”</w:t>
            </w:r>
          </w:p>
          <w:p>
            <w:pPr>
              <w:pStyle w:val="Normal"/>
              <w:ind w:start="162" w:end="144"/>
              <w:jc w:val="both"/>
              <w:rPr>
                <w:sz w:val="24"/>
              </w:rPr>
            </w:pPr>
            <w:r>
              <w:rPr>
                <w:sz w:val="24"/>
              </w:rPr>
            </w:r>
          </w:p>
          <w:p>
            <w:pPr>
              <w:pStyle w:val="Normal"/>
              <w:ind w:start="162" w:end="144"/>
              <w:jc w:val="both"/>
              <w:rPr>
                <w:sz w:val="24"/>
              </w:rPr>
            </w:pPr>
            <w:r>
              <w:rPr>
                <w:sz w:val="24"/>
              </w:rPr>
              <w:t>From the perspective of government, a market “works” when (1) they understand it, (2) they don’t get too many complaints and (3) there is little for them to gain by getting involved.  There is a role for Enron in each of these activities.</w:t>
            </w:r>
          </w:p>
          <w:p>
            <w:pPr>
              <w:pStyle w:val="Normal"/>
              <w:jc w:val="both"/>
              <w:rPr>
                <w:sz w:val="24"/>
              </w:rPr>
            </w:pPr>
            <w:r>
              <w:rPr>
                <w:sz w:val="24"/>
              </w:rPr>
            </w:r>
          </w:p>
        </w:tc>
      </w:tr>
    </w:tbl>
    <w:p>
      <w:pPr>
        <w:pStyle w:val="Normal"/>
        <w:rPr>
          <w:sz w:val="24"/>
        </w:rPr>
      </w:pPr>
      <w:r>
        <w:rPr>
          <w:sz w:val="24"/>
        </w:rPr>
      </w:r>
    </w:p>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Basic recommendations consistent with the primary objective</w:t>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Normal"/>
              <w:ind w:end="144"/>
              <w:jc w:val="both"/>
              <w:rPr>
                <w:sz w:val="24"/>
              </w:rPr>
            </w:pPr>
            <w:r>
              <w:rPr>
                <w:sz w:val="24"/>
              </w:rPr>
              <w:t>With respect to electricity the market will work best, in general terms, when:</w:t>
            </w:r>
          </w:p>
          <w:p>
            <w:pPr>
              <w:pStyle w:val="Normal"/>
              <w:ind w:end="144"/>
              <w:jc w:val="both"/>
              <w:rPr>
                <w:sz w:val="24"/>
              </w:rPr>
            </w:pPr>
            <w:r>
              <w:rPr>
                <w:sz w:val="24"/>
              </w:rPr>
            </w:r>
          </w:p>
          <w:p>
            <w:pPr>
              <w:pStyle w:val="Normal"/>
              <w:numPr>
                <w:ilvl w:val="0"/>
                <w:numId w:val="7"/>
              </w:numPr>
              <w:ind w:hanging="360" w:start="360" w:end="144"/>
              <w:jc w:val="both"/>
              <w:rPr>
                <w:sz w:val="24"/>
              </w:rPr>
            </w:pPr>
            <w:r>
              <w:rPr>
                <w:sz w:val="24"/>
              </w:rPr>
              <w:t>From a physical perspective supply and demand equate in real time.</w:t>
            </w:r>
          </w:p>
          <w:p>
            <w:pPr>
              <w:pStyle w:val="Normal"/>
              <w:ind w:end="144"/>
              <w:jc w:val="both"/>
              <w:rPr>
                <w:sz w:val="24"/>
              </w:rPr>
            </w:pPr>
            <w:r>
              <w:rPr>
                <w:sz w:val="24"/>
              </w:rPr>
            </w:r>
          </w:p>
          <w:p>
            <w:pPr>
              <w:pStyle w:val="Normal"/>
              <w:numPr>
                <w:ilvl w:val="0"/>
                <w:numId w:val="7"/>
              </w:numPr>
              <w:ind w:hanging="360" w:start="360" w:end="144"/>
              <w:jc w:val="both"/>
              <w:rPr>
                <w:sz w:val="24"/>
              </w:rPr>
            </w:pPr>
            <w:r>
              <w:rPr>
                <w:sz w:val="24"/>
              </w:rPr>
              <w:t>There is a spot market that creates a price that can be settled against.</w:t>
            </w:r>
          </w:p>
          <w:p>
            <w:pPr>
              <w:pStyle w:val="Normal"/>
              <w:ind w:end="144"/>
              <w:jc w:val="both"/>
              <w:rPr>
                <w:sz w:val="24"/>
              </w:rPr>
            </w:pPr>
            <w:r>
              <w:rPr>
                <w:sz w:val="24"/>
              </w:rPr>
            </w:r>
          </w:p>
          <w:p>
            <w:pPr>
              <w:pStyle w:val="Normal"/>
              <w:numPr>
                <w:ilvl w:val="0"/>
                <w:numId w:val="7"/>
              </w:numPr>
              <w:ind w:hanging="360" w:start="360" w:end="144"/>
              <w:jc w:val="both"/>
              <w:rPr>
                <w:sz w:val="24"/>
              </w:rPr>
            </w:pPr>
            <w:r>
              <w:rPr>
                <w:sz w:val="24"/>
              </w:rPr>
              <w:t>There is enough liquidity in the spot market that the price is robust.</w:t>
            </w:r>
          </w:p>
          <w:p>
            <w:pPr>
              <w:pStyle w:val="Normal"/>
              <w:ind w:end="144"/>
              <w:jc w:val="both"/>
              <w:rPr>
                <w:sz w:val="24"/>
              </w:rPr>
            </w:pPr>
            <w:r>
              <w:rPr>
                <w:sz w:val="24"/>
              </w:rPr>
            </w:r>
          </w:p>
          <w:p>
            <w:pPr>
              <w:pStyle w:val="Normal"/>
              <w:numPr>
                <w:ilvl w:val="0"/>
                <w:numId w:val="7"/>
              </w:numPr>
              <w:ind w:hanging="360" w:start="360" w:end="144"/>
              <w:jc w:val="both"/>
              <w:rPr>
                <w:sz w:val="24"/>
              </w:rPr>
            </w:pPr>
            <w:r>
              <w:rPr>
                <w:sz w:val="24"/>
              </w:rPr>
              <w:t>The market participants understand the process by which the price is determined.</w:t>
            </w:r>
          </w:p>
          <w:p>
            <w:pPr>
              <w:pStyle w:val="Normal"/>
              <w:ind w:end="144"/>
              <w:jc w:val="both"/>
              <w:rPr>
                <w:sz w:val="24"/>
              </w:rPr>
            </w:pPr>
            <w:r>
              <w:rPr>
                <w:sz w:val="24"/>
              </w:rPr>
            </w:r>
          </w:p>
          <w:p>
            <w:pPr>
              <w:pStyle w:val="Normal"/>
              <w:numPr>
                <w:ilvl w:val="0"/>
                <w:numId w:val="7"/>
              </w:numPr>
              <w:ind w:hanging="360" w:start="360" w:end="144"/>
              <w:jc w:val="both"/>
              <w:rPr>
                <w:sz w:val="24"/>
              </w:rPr>
            </w:pPr>
            <w:r>
              <w:rPr>
                <w:sz w:val="24"/>
              </w:rPr>
              <w:t>The market rules are flexible enough to evolve but rigid enough to provide stability.</w:t>
            </w:r>
          </w:p>
          <w:p>
            <w:pPr>
              <w:pStyle w:val="Normal"/>
              <w:ind w:end="144"/>
              <w:jc w:val="both"/>
              <w:rPr>
                <w:sz w:val="24"/>
              </w:rPr>
            </w:pPr>
            <w:r>
              <w:rPr>
                <w:sz w:val="24"/>
              </w:rPr>
            </w:r>
          </w:p>
          <w:p>
            <w:pPr>
              <w:pStyle w:val="Normal"/>
              <w:numPr>
                <w:ilvl w:val="0"/>
                <w:numId w:val="7"/>
              </w:numPr>
              <w:ind w:hanging="360" w:start="360" w:end="144"/>
              <w:jc w:val="both"/>
              <w:rPr>
                <w:sz w:val="24"/>
              </w:rPr>
            </w:pPr>
            <w:r>
              <w:rPr>
                <w:sz w:val="24"/>
              </w:rPr>
              <w:t>The governance process provides appropriate incentives for decision-makers.</w:t>
            </w:r>
            <w:r>
              <w:rPr>
                <w:rStyle w:val="FootnoteCharacters"/>
                <w:rStyle w:val="FootnoteReference"/>
                <w:sz w:val="24"/>
              </w:rPr>
              <w:footnoteReference w:id="5"/>
            </w:r>
          </w:p>
          <w:p>
            <w:pPr>
              <w:pStyle w:val="Normal"/>
              <w:ind w:end="144"/>
              <w:jc w:val="both"/>
              <w:rPr>
                <w:sz w:val="24"/>
              </w:rPr>
            </w:pPr>
            <w:r>
              <w:rPr>
                <w:sz w:val="24"/>
              </w:rPr>
            </w:r>
          </w:p>
          <w:p>
            <w:pPr>
              <w:pStyle w:val="Normal"/>
              <w:numPr>
                <w:ilvl w:val="0"/>
                <w:numId w:val="7"/>
              </w:numPr>
              <w:ind w:hanging="360" w:start="360" w:end="144"/>
              <w:jc w:val="both"/>
              <w:rPr>
                <w:sz w:val="24"/>
              </w:rPr>
            </w:pPr>
            <w:r>
              <w:rPr>
                <w:sz w:val="24"/>
              </w:rPr>
              <w:t>The rules limit the market power of centralized agents (including if possible the government).</w:t>
            </w:r>
          </w:p>
          <w:p>
            <w:pPr>
              <w:pStyle w:val="Normal"/>
              <w:ind w:end="144"/>
              <w:jc w:val="both"/>
              <w:rPr>
                <w:sz w:val="24"/>
              </w:rPr>
            </w:pPr>
            <w:r>
              <w:rPr>
                <w:sz w:val="24"/>
              </w:rPr>
            </w:r>
          </w:p>
          <w:p>
            <w:pPr>
              <w:pStyle w:val="Normal"/>
              <w:numPr>
                <w:ilvl w:val="0"/>
                <w:numId w:val="7"/>
              </w:numPr>
              <w:ind w:hanging="360" w:start="360" w:end="144"/>
              <w:jc w:val="both"/>
              <w:rPr>
                <w:sz w:val="24"/>
              </w:rPr>
            </w:pPr>
            <w:r>
              <w:rPr>
                <w:sz w:val="24"/>
              </w:rPr>
              <w:t>To the maximum extent possible, any given institutional structure (e.g. bilateral contracting or pooling) faces competition.  Thus, the rules should not bias towards any particular way of exchange.</w:t>
            </w:r>
          </w:p>
          <w:p>
            <w:pPr>
              <w:pStyle w:val="Normal"/>
              <w:ind w:end="144"/>
              <w:jc w:val="both"/>
              <w:rPr>
                <w:sz w:val="24"/>
              </w:rPr>
            </w:pPr>
            <w:r>
              <w:rPr>
                <w:sz w:val="24"/>
              </w:rPr>
            </w:r>
          </w:p>
        </w:tc>
      </w:tr>
    </w:tbl>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The congestion management debate is a bit of a smokescreen</w:t>
            </w:r>
          </w:p>
          <w:p>
            <w:pPr>
              <w:pStyle w:val="Normal"/>
              <w:rPr/>
            </w:pPr>
            <w:r>
              <w:rPr/>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Normal"/>
              <w:ind w:start="162" w:end="144"/>
              <w:jc w:val="both"/>
              <w:rPr>
                <w:sz w:val="24"/>
              </w:rPr>
            </w:pPr>
            <w:r>
              <w:rPr>
                <w:sz w:val="24"/>
              </w:rPr>
              <w:t xml:space="preserve">The ongoing debate between the proponents of nodal pricing (and the accompanying financial transmission rights for transmission) and those in favor of a zonal or flowgate approach is largely a smokescreen.  As long as the rules permit, market structures evolve and whatever is adopted initially is unlikely to be permanent.  </w:t>
            </w:r>
          </w:p>
          <w:p>
            <w:pPr>
              <w:pStyle w:val="Normal"/>
              <w:ind w:start="162" w:end="144"/>
              <w:jc w:val="both"/>
              <w:rPr>
                <w:sz w:val="24"/>
              </w:rPr>
            </w:pPr>
            <w:r>
              <w:rPr>
                <w:sz w:val="24"/>
              </w:rPr>
            </w:r>
          </w:p>
          <w:p>
            <w:pPr>
              <w:pStyle w:val="Normal"/>
              <w:ind w:start="162" w:end="144"/>
              <w:jc w:val="both"/>
              <w:rPr>
                <w:sz w:val="24"/>
              </w:rPr>
            </w:pPr>
            <w:r>
              <w:rPr>
                <w:sz w:val="24"/>
              </w:rPr>
              <w:t>The New Zealand Electricity Market started operation in October 1996 with prices for 248 nodes calculated the day after dispatch.  By the end of this year the number of nodes will be cut to approximately 130 and prices will be determined before dispatch.  The Australian market started with only a handful of nodes at which prices were calculated but within the next 12 months will move to a system with prices for up to 100 nodes (or zones).  California will increase the number of zones in the near future and, in all probability, PJM will reduce the number in their system.  The point is that markets should and do evolve as the needs of the participants change.  This leads to the conclusion that possibly more attention should be paid to the decision-making process embedded in the rules  (i.e. the rule change process) than to the specific rules at a given point in time.</w:t>
            </w:r>
          </w:p>
          <w:p>
            <w:pPr>
              <w:pStyle w:val="Normal"/>
              <w:jc w:val="both"/>
              <w:rPr>
                <w:sz w:val="24"/>
              </w:rPr>
            </w:pPr>
            <w:r>
              <w:rPr>
                <w:sz w:val="24"/>
              </w:rPr>
            </w:r>
          </w:p>
        </w:tc>
      </w:tr>
    </w:tbl>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The appropriate integration of dispatch and the spot market</w:t>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Normal"/>
              <w:ind w:start="162" w:end="144"/>
              <w:jc w:val="both"/>
              <w:rPr>
                <w:sz w:val="24"/>
              </w:rPr>
            </w:pPr>
            <w:r>
              <w:rPr>
                <w:sz w:val="24"/>
              </w:rPr>
              <w:t>At the center of the LMP/Zonal debate is the appropriate degree of integration between the spot market and the dispatch process.  Advocates of LMP will argue that primarily because of externalities the integration must be complete.  Zonal proponents would argue that the material real time externalities do not justify the imposition of locational pricing.  In essence the question is</w:t>
            </w:r>
          </w:p>
          <w:p>
            <w:pPr>
              <w:pStyle w:val="Normal"/>
              <w:ind w:start="162" w:end="144"/>
              <w:jc w:val="both"/>
              <w:rPr>
                <w:sz w:val="24"/>
              </w:rPr>
            </w:pPr>
            <w:r>
              <w:rPr>
                <w:sz w:val="24"/>
              </w:rPr>
            </w:r>
          </w:p>
          <w:p>
            <w:pPr>
              <w:pStyle w:val="Normal"/>
              <w:ind w:start="162" w:end="144"/>
              <w:jc w:val="both"/>
              <w:rPr>
                <w:sz w:val="24"/>
              </w:rPr>
            </w:pPr>
            <w:r>
              <w:rPr>
                <w:b/>
                <w:i/>
                <w:sz w:val="24"/>
              </w:rPr>
              <w:t>How much of a discrepancy can there be between what happens in real time and what is reflected in the price in order to have a robust market. Or, put somewhat differently, what tools will the ISO use in real time to dispatch plant and manage congestion?</w:t>
            </w:r>
          </w:p>
          <w:p>
            <w:pPr>
              <w:pStyle w:val="Normal"/>
              <w:jc w:val="both"/>
              <w:rPr>
                <w:sz w:val="24"/>
              </w:rPr>
            </w:pPr>
            <w:r>
              <w:rPr>
                <w:sz w:val="24"/>
              </w:rPr>
            </w:r>
          </w:p>
        </w:tc>
      </w:tr>
    </w:tbl>
    <w:p>
      <w:pPr>
        <w:pStyle w:val="Normal"/>
        <w:rPr>
          <w:sz w:val="24"/>
        </w:rPr>
      </w:pPr>
      <w:r>
        <w:rPr>
          <w:sz w:val="24"/>
        </w:rPr>
      </w:r>
    </w:p>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The lesser of two evils?</w:t>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Normal"/>
              <w:ind w:start="162" w:end="144"/>
              <w:jc w:val="both"/>
              <w:rPr>
                <w:sz w:val="24"/>
              </w:rPr>
            </w:pPr>
            <w:r>
              <w:rPr>
                <w:sz w:val="24"/>
              </w:rPr>
              <w:t>Proponents of both models are guilty of overstating their case.  Dispatch is an art and nodal pricing – while trying to create prices that are consistent with actual dispatch – is fraught with direct manipulation, abstract assumptions unrelated to reality, and is completely dependent on the data put into the model.  Similarly the ex ante creation of zones/flowgates is potentially as mysterious, both in process and outcome as witchcraft.  In short there is no “perfect” answer – despite the protestations of both camps.</w:t>
            </w:r>
          </w:p>
          <w:p>
            <w:pPr>
              <w:pStyle w:val="Normal"/>
              <w:jc w:val="both"/>
              <w:rPr>
                <w:sz w:val="24"/>
              </w:rPr>
            </w:pPr>
            <w:r>
              <w:rPr>
                <w:sz w:val="24"/>
              </w:rPr>
            </w:r>
          </w:p>
        </w:tc>
      </w:tr>
    </w:tbl>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 xml:space="preserve"> </w:t>
            </w:r>
            <w:r>
              <w:rPr/>
              <w:t>Trading concerns</w:t>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Normal"/>
              <w:ind w:start="162" w:end="144"/>
              <w:jc w:val="both"/>
              <w:rPr>
                <w:sz w:val="24"/>
              </w:rPr>
            </w:pPr>
            <w:r>
              <w:rPr>
                <w:sz w:val="24"/>
              </w:rPr>
              <w:t>In addition to the points raised above in the basic recommendations, in any electricity market traders specifically argue for:</w:t>
            </w:r>
          </w:p>
          <w:p>
            <w:pPr>
              <w:pStyle w:val="Normal"/>
              <w:ind w:end="144"/>
              <w:jc w:val="both"/>
              <w:rPr>
                <w:sz w:val="24"/>
              </w:rPr>
            </w:pPr>
            <w:r>
              <w:rPr>
                <w:sz w:val="24"/>
              </w:rPr>
            </w:r>
          </w:p>
          <w:p>
            <w:pPr>
              <w:pStyle w:val="Normal"/>
              <w:numPr>
                <w:ilvl w:val="0"/>
                <w:numId w:val="2"/>
              </w:numPr>
              <w:tabs>
                <w:tab w:val="clear" w:pos="720"/>
                <w:tab w:val="left" w:pos="522" w:leader="none"/>
              </w:tabs>
              <w:ind w:hanging="360" w:start="522" w:end="144"/>
              <w:jc w:val="both"/>
              <w:rPr>
                <w:sz w:val="24"/>
              </w:rPr>
            </w:pPr>
            <w:r>
              <w:rPr>
                <w:sz w:val="24"/>
              </w:rPr>
              <w:t>Ex ante rather than ex post pricing (either nodal or zonal can provide this).</w:t>
            </w:r>
          </w:p>
          <w:p>
            <w:pPr>
              <w:pStyle w:val="Normal"/>
              <w:ind w:start="162" w:end="144"/>
              <w:jc w:val="both"/>
              <w:rPr>
                <w:sz w:val="24"/>
              </w:rPr>
            </w:pPr>
            <w:r>
              <w:rPr>
                <w:sz w:val="24"/>
              </w:rPr>
            </w:r>
          </w:p>
          <w:p>
            <w:pPr>
              <w:pStyle w:val="Normal"/>
              <w:numPr>
                <w:ilvl w:val="0"/>
                <w:numId w:val="2"/>
              </w:numPr>
              <w:tabs>
                <w:tab w:val="clear" w:pos="720"/>
                <w:tab w:val="left" w:pos="522" w:leader="none"/>
              </w:tabs>
              <w:ind w:hanging="360" w:start="522" w:end="144"/>
              <w:jc w:val="both"/>
              <w:rPr>
                <w:sz w:val="24"/>
              </w:rPr>
            </w:pPr>
            <w:r>
              <w:rPr>
                <w:sz w:val="24"/>
              </w:rPr>
              <w:t>More rather than less liquidity through standardized products, i.e. no locational marginal pricing (a particular criticism of nodal pricing).</w:t>
            </w:r>
            <w:r>
              <w:rPr>
                <w:rStyle w:val="FootnoteCharacters"/>
                <w:rStyle w:val="FootnoteReference"/>
                <w:sz w:val="24"/>
              </w:rPr>
              <w:footnoteReference w:id="6"/>
            </w:r>
          </w:p>
          <w:p>
            <w:pPr>
              <w:pStyle w:val="Normal"/>
              <w:ind w:end="144"/>
              <w:jc w:val="both"/>
              <w:rPr>
                <w:sz w:val="24"/>
              </w:rPr>
            </w:pPr>
            <w:r>
              <w:rPr>
                <w:sz w:val="24"/>
              </w:rPr>
            </w:r>
          </w:p>
          <w:p>
            <w:pPr>
              <w:pStyle w:val="Normal"/>
              <w:numPr>
                <w:ilvl w:val="0"/>
                <w:numId w:val="2"/>
              </w:numPr>
              <w:tabs>
                <w:tab w:val="clear" w:pos="720"/>
                <w:tab w:val="left" w:pos="522" w:leader="none"/>
              </w:tabs>
              <w:ind w:hanging="360" w:start="522" w:end="144"/>
              <w:jc w:val="both"/>
              <w:rPr>
                <w:sz w:val="24"/>
              </w:rPr>
            </w:pPr>
            <w:r>
              <w:rPr>
                <w:sz w:val="24"/>
              </w:rPr>
              <w:t>Not constraining trading to point-to-point or sources and sinks.</w:t>
            </w:r>
          </w:p>
          <w:p>
            <w:pPr>
              <w:pStyle w:val="Normal"/>
              <w:ind w:end="144"/>
              <w:jc w:val="both"/>
              <w:rPr>
                <w:sz w:val="24"/>
              </w:rPr>
            </w:pPr>
            <w:r>
              <w:rPr>
                <w:sz w:val="24"/>
              </w:rPr>
            </w:r>
          </w:p>
          <w:p>
            <w:pPr>
              <w:pStyle w:val="Normal"/>
              <w:numPr>
                <w:ilvl w:val="0"/>
                <w:numId w:val="2"/>
              </w:numPr>
              <w:tabs>
                <w:tab w:val="clear" w:pos="720"/>
                <w:tab w:val="left" w:pos="522" w:leader="none"/>
              </w:tabs>
              <w:ind w:hanging="360" w:start="522" w:end="144"/>
              <w:jc w:val="both"/>
              <w:rPr>
                <w:sz w:val="24"/>
              </w:rPr>
            </w:pPr>
            <w:r>
              <w:rPr>
                <w:sz w:val="24"/>
              </w:rPr>
              <w:t>Limiting the ability of centralized agents like an ISO to influence outcomes (a criticism of complete integration of dispatch and the spot market)</w:t>
            </w:r>
          </w:p>
          <w:p>
            <w:pPr>
              <w:pStyle w:val="Normal"/>
              <w:ind w:end="144"/>
              <w:jc w:val="both"/>
              <w:rPr>
                <w:sz w:val="24"/>
              </w:rPr>
            </w:pPr>
            <w:r>
              <w:rPr>
                <w:sz w:val="24"/>
              </w:rPr>
            </w:r>
          </w:p>
          <w:p>
            <w:pPr>
              <w:pStyle w:val="Normal"/>
              <w:numPr>
                <w:ilvl w:val="0"/>
                <w:numId w:val="2"/>
              </w:numPr>
              <w:tabs>
                <w:tab w:val="clear" w:pos="720"/>
                <w:tab w:val="left" w:pos="522" w:leader="none"/>
              </w:tabs>
              <w:ind w:hanging="360" w:start="522" w:end="144"/>
              <w:jc w:val="both"/>
              <w:rPr>
                <w:sz w:val="24"/>
              </w:rPr>
            </w:pPr>
            <w:r>
              <w:rPr>
                <w:sz w:val="24"/>
              </w:rPr>
              <w:t>A level playing field between new and existing players.</w:t>
            </w:r>
          </w:p>
          <w:p>
            <w:pPr>
              <w:pStyle w:val="Normal"/>
              <w:jc w:val="both"/>
              <w:rPr>
                <w:sz w:val="24"/>
              </w:rPr>
            </w:pPr>
            <w:r>
              <w:rPr>
                <w:sz w:val="24"/>
              </w:rPr>
            </w:r>
          </w:p>
        </w:tc>
      </w:tr>
    </w:tbl>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Despite flexibility nodal pricing potentially favors incumbents</w:t>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Normal"/>
              <w:ind w:start="162" w:end="144"/>
              <w:jc w:val="both"/>
              <w:rPr>
                <w:sz w:val="24"/>
              </w:rPr>
            </w:pPr>
            <w:r>
              <w:rPr>
                <w:sz w:val="24"/>
              </w:rPr>
              <w:t xml:space="preserve">Much of the difference between LMP and the zonal approach can be eliminated through financial instruments – traders can create commercial hubs (thereby mirroring commercially significant zones). They can also aggregate point-to-point FTRs into a product that would essentially trade as broadly as the source/sink product in a zonal world.  </w:t>
            </w:r>
          </w:p>
          <w:p>
            <w:pPr>
              <w:pStyle w:val="Normal"/>
              <w:ind w:start="162" w:end="144"/>
              <w:jc w:val="both"/>
              <w:rPr>
                <w:sz w:val="24"/>
              </w:rPr>
            </w:pPr>
            <w:r>
              <w:rPr>
                <w:sz w:val="24"/>
              </w:rPr>
            </w:r>
          </w:p>
          <w:p>
            <w:pPr>
              <w:pStyle w:val="Normal"/>
              <w:ind w:start="162" w:end="144"/>
              <w:jc w:val="both"/>
              <w:rPr/>
            </w:pPr>
            <w:r>
              <w:rPr>
                <w:b/>
                <w:i/>
                <w:sz w:val="24"/>
              </w:rPr>
              <w:t>However, it must be noted that all other things equal, the combination of ex post pricing on a nodal basis favors incumbents because of the greater possibility of a thin market that effectively prevents real price discovery and competition</w:t>
            </w:r>
            <w:r>
              <w:rPr>
                <w:sz w:val="24"/>
              </w:rPr>
              <w:t>.</w:t>
            </w:r>
          </w:p>
          <w:p>
            <w:pPr>
              <w:pStyle w:val="Normal"/>
              <w:ind w:start="162" w:end="144"/>
              <w:jc w:val="both"/>
              <w:rPr>
                <w:sz w:val="24"/>
              </w:rPr>
            </w:pPr>
            <w:r>
              <w:rPr>
                <w:sz w:val="24"/>
              </w:rPr>
            </w:r>
          </w:p>
        </w:tc>
      </w:tr>
    </w:tbl>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3798"/>
        <w:gridCol w:w="4842"/>
      </w:tblGrid>
      <w:tr>
        <w:trPr/>
        <w:tc>
          <w:tcPr>
            <w:tcW w:w="3798" w:type="dxa"/>
            <w:tcBorders/>
          </w:tcPr>
          <w:p>
            <w:pPr>
              <w:pStyle w:val="Heading1"/>
              <w:snapToGrid w:val="false"/>
              <w:ind w:hanging="0" w:start="0"/>
              <w:rPr/>
            </w:pPr>
            <w:r>
              <w:rPr/>
            </w:r>
          </w:p>
          <w:p>
            <w:pPr>
              <w:pStyle w:val="Heading1"/>
              <w:ind w:hanging="0" w:start="0"/>
              <w:rPr/>
            </w:pPr>
            <w:r>
              <w:rPr/>
              <w:t xml:space="preserve">Conclusion - </w:t>
            </w:r>
          </w:p>
        </w:tc>
        <w:tc>
          <w:tcPr>
            <w:tcW w:w="4842" w:type="dxa"/>
            <w:tcBorders>
              <w:top w:val="single" w:sz="4" w:space="0" w:color="000000"/>
              <w:bottom w:val="single" w:sz="4" w:space="0" w:color="000000"/>
            </w:tcBorders>
          </w:tcPr>
          <w:p>
            <w:pPr>
              <w:pStyle w:val="Normal"/>
              <w:snapToGrid w:val="false"/>
              <w:ind w:end="144"/>
              <w:jc w:val="both"/>
              <w:rPr>
                <w:sz w:val="24"/>
              </w:rPr>
            </w:pPr>
            <w:r>
              <w:rPr>
                <w:sz w:val="24"/>
              </w:rPr>
            </w:r>
          </w:p>
          <w:p>
            <w:pPr>
              <w:pStyle w:val="Normal"/>
              <w:ind w:start="162" w:end="144"/>
              <w:jc w:val="both"/>
              <w:rPr/>
            </w:pPr>
            <w:r>
              <w:rPr>
                <w:sz w:val="24"/>
              </w:rPr>
              <w:t xml:space="preserve">Given that the overarching objective of the market should be to keep government intervention to the minimum, the single most important design feature should be the creation of an </w:t>
            </w:r>
            <w:r>
              <w:rPr>
                <w:b/>
                <w:i/>
                <w:sz w:val="24"/>
              </w:rPr>
              <w:t>ex ante</w:t>
            </w:r>
            <w:r>
              <w:rPr>
                <w:sz w:val="24"/>
              </w:rPr>
              <w:t xml:space="preserve"> spot price.  Whether that price is based on a nodal pricing model or on a zonal approach is less important.  However, an ex ante price necessarily divorces dispatch from the spot market and requires a structure to fill the void – there needs to be a detailed description of how the dispatcher will operate in real time when price signals are eliminated.  </w:t>
            </w:r>
          </w:p>
          <w:p>
            <w:pPr>
              <w:pStyle w:val="Normal"/>
              <w:ind w:start="162" w:end="144"/>
              <w:jc w:val="both"/>
              <w:rPr>
                <w:sz w:val="24"/>
              </w:rPr>
            </w:pPr>
            <w:r>
              <w:rPr>
                <w:sz w:val="24"/>
              </w:rPr>
            </w:r>
          </w:p>
          <w:p>
            <w:pPr>
              <w:pStyle w:val="Normal"/>
              <w:ind w:start="162" w:end="144"/>
              <w:jc w:val="both"/>
              <w:rPr>
                <w:sz w:val="24"/>
              </w:rPr>
            </w:pPr>
            <w:r>
              <w:rPr>
                <w:sz w:val="24"/>
              </w:rPr>
              <w:t>Finally, while initial market design should not seek perfection special attention needs to be paid to the methodology through which the rules evolve.</w:t>
            </w:r>
          </w:p>
          <w:p>
            <w:pPr>
              <w:pStyle w:val="Normal"/>
              <w:ind w:start="162" w:end="144"/>
              <w:jc w:val="both"/>
              <w:rPr>
                <w:sz w:val="24"/>
              </w:rPr>
            </w:pPr>
            <w:r>
              <w:rPr>
                <w:sz w:val="24"/>
              </w:rPr>
            </w:r>
          </w:p>
        </w:tc>
      </w:tr>
    </w:tbl>
    <w:p>
      <w:pPr>
        <w:pStyle w:val="Normal"/>
        <w:rPr>
          <w:sz w:val="24"/>
        </w:rPr>
      </w:pPr>
      <w:r>
        <w:rPr>
          <w:sz w:val="24"/>
        </w:rPr>
      </w:r>
    </w:p>
    <w:sectPr>
      <w:headerReference w:type="default" r:id="rId3"/>
      <w:headerReference w:type="first" r:id="rId4"/>
      <w:footerReference w:type="default" r:id="rId5"/>
      <w:footerReference w:type="first" r:id="rId6"/>
      <w:footnotePr>
        <w:numFmt w:val="decimal"/>
      </w:footnotePr>
      <w:type w:val="nextPage"/>
      <w:pgSz w:w="12240" w:h="15840"/>
      <w:pgMar w:left="1800" w:right="1800" w:gutter="0" w:header="720" w:top="180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It is worth noting that while electricity as a commodity cannot be stored, many of the inputs used to produce the energy (e.g. coal, hydro, gas, and nuclear) do have storage capabilities.</w:t>
      </w:r>
    </w:p>
  </w:footnote>
  <w:footnote w:id="3">
    <w:p>
      <w:pPr>
        <w:pStyle w:val="Normal"/>
        <w:ind w:end="144"/>
        <w:jc w:val="both"/>
        <w:rPr>
          <w:sz w:val="24"/>
        </w:rPr>
      </w:pPr>
      <w:r>
        <w:rPr>
          <w:rStyle w:val="FootnoteCharacters"/>
        </w:rPr>
        <w:footnoteRef/>
      </w:r>
      <w:r>
        <w:rPr/>
        <w:t xml:space="preserve"> </w:t>
      </w:r>
      <w:r>
        <w:rPr/>
        <w:t xml:space="preserve">Even in dedicated electrical systems it is difficult to accurately define property rights, but when electricity production and transport is accomplished by an interconnected network this difficulty becomes much greater.  </w:t>
      </w:r>
    </w:p>
    <w:p>
      <w:pPr>
        <w:pStyle w:val="FootnoteText"/>
        <w:rPr>
          <w:sz w:val="24"/>
        </w:rPr>
      </w:pPr>
      <w:r>
        <w:rPr>
          <w:sz w:val="24"/>
        </w:rPr>
      </w:r>
    </w:p>
  </w:footnote>
  <w:footnote w:id="4">
    <w:p>
      <w:pPr>
        <w:pStyle w:val="FootnoteText"/>
        <w:rPr/>
      </w:pPr>
      <w:r>
        <w:rPr>
          <w:rStyle w:val="FootnoteCharacters"/>
        </w:rPr>
        <w:footnoteRef/>
      </w:r>
      <w:r>
        <w:rPr/>
        <w:t xml:space="preserve"> </w:t>
      </w:r>
      <w:r>
        <w:rPr/>
        <w:t>For example one of the reasons for our ancillary service recommendation in ERCOT is that it potentially, and only mildly, removes these products from the direct hand of government – unless of course they choose to rewrite the legislation.</w:t>
      </w:r>
    </w:p>
  </w:footnote>
  <w:footnote w:id="5">
    <w:p>
      <w:pPr>
        <w:pStyle w:val="FootnoteText"/>
        <w:rPr/>
      </w:pPr>
      <w:r>
        <w:rPr>
          <w:rStyle w:val="FootnoteCharacters"/>
        </w:rPr>
        <w:footnoteRef/>
      </w:r>
      <w:r>
        <w:rPr/>
        <w:t xml:space="preserve"> </w:t>
      </w:r>
      <w:r>
        <w:rPr/>
        <w:t>For example, given that the Board members of the individual electricity pools have no fiduciary responsibility, it is unlikely that they face the proper incentives necessary for high quality decision-making.</w:t>
      </w:r>
    </w:p>
  </w:footnote>
  <w:footnote w:id="6">
    <w:p>
      <w:pPr>
        <w:pStyle w:val="FootnoteText"/>
        <w:rPr/>
      </w:pPr>
      <w:r>
        <w:rPr>
          <w:rStyle w:val="FootnoteCharacters"/>
        </w:rPr>
        <w:footnoteRef/>
      </w:r>
      <w:r>
        <w:rPr/>
        <w:t xml:space="preserve"> </w:t>
      </w:r>
      <w:r>
        <w:rPr/>
        <w:t xml:space="preserve">It should be noted that traders in New Zealand overcame this by establishing 6-10 commercial trading nodes).  Thereby creating “zones” without the artificial complications of the typical zonal approach.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1" distT="0" distB="0" distL="114935" distR="114935" simplePos="0" locked="0" layoutInCell="1" allowOverlap="1" relativeHeight="10">
          <wp:simplePos x="0" y="0"/>
          <wp:positionH relativeFrom="column">
            <wp:posOffset>4892040</wp:posOffset>
          </wp:positionH>
          <wp:positionV relativeFrom="paragraph">
            <wp:posOffset>635</wp:posOffset>
          </wp:positionV>
          <wp:extent cx="590550" cy="59055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38" t="-38" r="-38" b="-38"/>
                  <a:stretch>
                    <a:fillRect/>
                  </a:stretch>
                </pic:blipFill>
                <pic:spPr bwMode="auto">
                  <a:xfrm>
                    <a:off x="0" y="0"/>
                    <a:ext cx="590550" cy="590550"/>
                  </a:xfrm>
                  <a:prstGeom prst="rect">
                    <a:avLst/>
                  </a:prstGeom>
                  <a:noFill/>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ind w:hanging="0" w:start="0" w:end="144"/>
      <w:jc w:val="both"/>
      <w:outlineLvl w:val="1"/>
    </w:pPr>
    <w:rPr>
      <w:sz w:val="24"/>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St9z0">
    <w:name w:val="WW8NumSt9z0"/>
    <w:qFormat/>
    <w:rPr>
      <w:rFonts w:ascii="Times New Roman" w:hAnsi="Times New Roman" w:cs="Times New Roman"/>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80" w:end="0"/>
      <w:jc w:val="both"/>
    </w:pPr>
    <w:rPr>
      <w:sz w:val="24"/>
    </w:rPr>
  </w:style>
  <w:style w:type="paragraph" w:styleId="BlockText">
    <w:name w:val="Block Text"/>
    <w:basedOn w:val="Normal"/>
    <w:qFormat/>
    <w:pPr>
      <w:ind w:hanging="0" w:start="180" w:end="144"/>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b/>
      <w:sz w:val="36"/>
    </w:rPr>
  </w:style>
  <w:style w:type="paragraph" w:styleId="BodyText3">
    <w:name w:val="Body Text 3"/>
    <w:basedOn w:val="Normal"/>
    <w:qFormat/>
    <w:pPr>
      <w:ind w:hanging="0" w:start="0" w:end="144"/>
      <w:jc w:val="both"/>
    </w:pPr>
    <w:rPr>
      <w:sz w:val="24"/>
    </w:rPr>
  </w:style>
  <w:style w:type="paragraph" w:styleId="BodyTextIndent2">
    <w:name w:val="Body Text Indent 2"/>
    <w:basedOn w:val="Normal"/>
    <w:qFormat/>
    <w:pPr>
      <w:ind w:hanging="0" w:start="162" w:end="0"/>
      <w:jc w:val="both"/>
    </w:pPr>
    <w:rPr>
      <w:sz w:val="24"/>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2000-07-30T23:41:00Z</dcterms:created>
  <dc:creator>rmcnamar</dc:creator>
  <dc:description/>
  <dc:language>en-CA</dc:language>
  <cp:lastModifiedBy>rmcnamar</cp:lastModifiedBy>
  <dcterms:modified xsi:type="dcterms:W3CDTF">2000-08-01T18:38:00Z</dcterms:modified>
  <cp:revision>16</cp:revision>
  <dc:subject/>
  <dc:title> </dc:title>
</cp:coreProperties>
</file>