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Questions about Market Access to Information</w:t>
      </w:r>
    </w:p>
    <w:p>
      <w:pPr>
        <w:pStyle w:val="Normal"/>
        <w:jc w:val="center"/>
        <w:rPr>
          <w:b/>
          <w:sz w:val="24"/>
        </w:rPr>
      </w:pPr>
      <w:r>
        <w:rPr>
          <w:b/>
          <w:sz w:val="24"/>
        </w:rPr>
      </w:r>
    </w:p>
    <w:p>
      <w:pPr>
        <w:pStyle w:val="Normal"/>
        <w:rPr>
          <w:sz w:val="24"/>
        </w:rPr>
      </w:pPr>
      <w:r>
        <w:rPr>
          <w:sz w:val="24"/>
        </w:rPr>
      </w:r>
    </w:p>
    <w:p>
      <w:pPr>
        <w:pStyle w:val="BodyTextIndent3"/>
        <w:rPr/>
      </w:pPr>
      <w:r>
        <w:rPr/>
        <w:t>Q.</w:t>
        <w:tab/>
        <w:t>Do you agree that FERC should order all RTOs, including the California ISO, to provide more information to the marketplace and if so why?</w:t>
      </w:r>
    </w:p>
    <w:p>
      <w:pPr>
        <w:pStyle w:val="Normal"/>
        <w:rPr>
          <w:sz w:val="24"/>
        </w:rPr>
      </w:pPr>
      <w:r>
        <w:rPr>
          <w:sz w:val="24"/>
        </w:rPr>
      </w:r>
    </w:p>
    <w:p>
      <w:pPr>
        <w:pStyle w:val="Normal"/>
        <w:ind w:hanging="720" w:start="720" w:end="0"/>
        <w:rPr/>
      </w:pPr>
      <w:r>
        <w:rPr>
          <w:sz w:val="24"/>
        </w:rPr>
        <w:t xml:space="preserve">A. </w:t>
        <w:tab/>
        <w:t>Yes.</w:t>
      </w:r>
      <w:r>
        <w:rPr/>
        <w:t xml:space="preserve">  </w:t>
      </w:r>
      <w:r>
        <w:rPr>
          <w:sz w:val="24"/>
        </w:rPr>
        <w:t>There are important reasons for maximizing the amount of information that is made available to the market participants,</w:t>
      </w:r>
      <w:r>
        <w:rPr/>
        <w:t xml:space="preserve"> </w:t>
      </w:r>
      <w:r>
        <w:rPr>
          <w:sz w:val="24"/>
        </w:rPr>
        <w:t xml:space="preserve">particularly in a decentralized market like California.  Information is critical to the smooth functioning of markets.  It allows participants to identify additional welfare-enhancing transactions that improve the efficiency of resource allocation and lower production costs.  It enhances liquidity in traded energy and transmission capacity products.  It assists in detecting potentially collusive behavior.    </w:t>
      </w:r>
    </w:p>
    <w:p>
      <w:pPr>
        <w:pStyle w:val="Normal"/>
        <w:ind w:hanging="720" w:start="720" w:end="0"/>
        <w:rPr>
          <w:sz w:val="24"/>
        </w:rPr>
      </w:pPr>
      <w:r>
        <w:rPr>
          <w:sz w:val="24"/>
        </w:rPr>
      </w:r>
    </w:p>
    <w:p>
      <w:pPr>
        <w:pStyle w:val="BodyTextIndent"/>
        <w:ind w:hanging="0" w:end="0"/>
        <w:rPr/>
      </w:pPr>
      <w:r>
        <w:rPr/>
        <w:t xml:space="preserve">In sum, buyers and sellers must be aware of the economic opportunities available to them. Single market institutions, such as the California ISO, possess a near monopoly on information. In essence, the California ISO acts as a “traffic cop” for a complex transmission system with many constraints. One way to unblock congestion and reach a more efficient outcome is to improve the quality of “traffic reports” provided to market participants. This way not all of the cars will end up trying to drive across the same bridge simultaneously, while other routes may go unused. In California’s power markets, the ISO only releases small amounts of information and releases it so late that many operating and scheduling decisions have to be made “in the dark.”  If efficiency is to be preserved, it is essential that the ISO disseminate critical data and information. </w:t>
      </w:r>
    </w:p>
    <w:p>
      <w:pPr>
        <w:pStyle w:val="Normal"/>
        <w:ind w:hanging="720" w:start="720" w:end="0"/>
        <w:rPr/>
      </w:pPr>
      <w:r>
        <w:rPr/>
      </w:r>
    </w:p>
    <w:p>
      <w:pPr>
        <w:pStyle w:val="Normal"/>
        <w:numPr>
          <w:ilvl w:val="0"/>
          <w:numId w:val="3"/>
        </w:numPr>
        <w:rPr>
          <w:b/>
          <w:sz w:val="24"/>
        </w:rPr>
      </w:pPr>
      <w:r>
        <w:rPr>
          <w:b/>
          <w:sz w:val="24"/>
        </w:rPr>
        <w:t>Can you provide some examples of how this lack of information harms the market?</w:t>
      </w:r>
    </w:p>
    <w:p>
      <w:pPr>
        <w:pStyle w:val="Normal"/>
        <w:rPr>
          <w:b/>
          <w:sz w:val="24"/>
        </w:rPr>
      </w:pPr>
      <w:r>
        <w:rPr>
          <w:b/>
          <w:sz w:val="24"/>
        </w:rPr>
      </w:r>
    </w:p>
    <w:p>
      <w:pPr>
        <w:pStyle w:val="BodyTextIndent"/>
        <w:numPr>
          <w:ilvl w:val="0"/>
          <w:numId w:val="2"/>
        </w:numPr>
        <w:rPr/>
      </w:pPr>
      <w:r>
        <w:rPr/>
        <w:t xml:space="preserve">The current California market leaves market participants guessing about the nature of key system events and parameters, as the California ISO does not allow sufficient and timely information flows into the market.  </w:t>
      </w:r>
    </w:p>
    <w:p>
      <w:pPr>
        <w:pStyle w:val="BodyTextIndent"/>
        <w:ind w:hanging="0" w:start="0" w:end="0"/>
        <w:rPr/>
      </w:pPr>
      <w:r>
        <w:rPr/>
      </w:r>
    </w:p>
    <w:p>
      <w:pPr>
        <w:pStyle w:val="BodyTextIndent"/>
        <w:ind w:hanging="0" w:end="0"/>
        <w:rPr/>
      </w:pPr>
      <w:r>
        <w:rPr/>
        <w:t xml:space="preserve">For example, market participants in California are disadvantaged in terms of the available data about potential or actual transmission constraints.  In particular, it is troubling that certain critical transmission information, such as real-time information on congestion and power flows, is made readily available in other power markets such as PJM but is not made available by the California ISO.  </w:t>
      </w:r>
    </w:p>
    <w:p>
      <w:pPr>
        <w:pStyle w:val="BodyTextIndent"/>
        <w:ind w:hanging="0" w:end="0"/>
        <w:rPr/>
      </w:pPr>
      <w:r>
        <w:rPr/>
      </w:r>
    </w:p>
    <w:p>
      <w:pPr>
        <w:pStyle w:val="BodyTextIndent"/>
        <w:ind w:hanging="0" w:end="0"/>
        <w:rPr/>
      </w:pPr>
      <w:r>
        <w:rPr/>
        <w:t xml:space="preserve">As another example, the ISO does not publish the rules for calculating available transmission capacity (ATC) on critical inter-zonal transmission paths.  Instead, the ISO permits incumbent transmission owners to determine ATC.  Accordingly, these transmission owners know the actual amount of ATC when they are bidding in the market, but other participants do not.  This discrimination is especially problematic in relation to the transmission path connnecting North and South California (Path 15), but also in the context of other inter-zonal interfaces.  </w:t>
      </w:r>
    </w:p>
    <w:p>
      <w:pPr>
        <w:pStyle w:val="BodyTextIndent"/>
        <w:ind w:hanging="0" w:end="0"/>
        <w:rPr/>
      </w:pPr>
      <w:r>
        <w:rPr/>
      </w:r>
    </w:p>
    <w:p>
      <w:pPr>
        <w:pStyle w:val="BodyTextIndent"/>
        <w:ind w:hanging="0" w:end="0"/>
        <w:rPr/>
      </w:pPr>
      <w:r>
        <w:rPr/>
        <w:t xml:space="preserve">Another example of this is the ISO keeps as a “black box” the algorithm it uses to calculate congestion on the ISO grid.  Thus, market participants are unable to fully understand and are limited in their ability to formulate Revised Preferred Schedules and Revised Adjustment Bids in the Day-Ahead Scheduling process.  This violates the filed rate doctrine and the FERC has so recognized.  This, information affects the allocation of grid resources and should therefore be available to market participants to ensure that limited grid resources are efficiently allocated. </w:t>
      </w:r>
    </w:p>
    <w:p>
      <w:pPr>
        <w:pStyle w:val="BodyTextIndent3"/>
        <w:ind w:hanging="0" w:end="0"/>
        <w:rPr>
          <w:b w:val="false"/>
        </w:rPr>
      </w:pPr>
      <w:r>
        <w:rPr>
          <w:b w:val="false"/>
        </w:rPr>
      </w:r>
    </w:p>
    <w:p>
      <w:pPr>
        <w:pStyle w:val="BodyTextIndent"/>
        <w:ind w:hanging="0" w:end="0"/>
        <w:rPr/>
      </w:pPr>
      <w:r>
        <w:rPr/>
        <w:t>Another example of information that the ISO withholds from the market is information about out-of-market (OOM) deals.  While a price cap is hypothetically in place, this price cap is routinely exceeded through the ISO’s OOM purchases.  The ISO is discriminatory in requesting OOM energy and capacity – at prices far beyond the price cap – from only certain market participants.  It is unclear how the ISO identifies OOM energy suppliers and how the ISO makes arrangements for replacement reserves under OOM on a purely bilateral basis.  The ISO should be required to establish a clear acquisition process for OOM calls through a real-time bulletin board.  FERC should review the ISO’s complex and arcane procedures for real-time dispatch and for allocating the costs of OOM purchases.  The most appropriate method is for the ISO to place energy costs in its purchasing “stack,” such that these OOM bids can set the real-time balancing energy price.</w:t>
      </w:r>
    </w:p>
    <w:p>
      <w:pPr>
        <w:pStyle w:val="BodyTextIndent"/>
        <w:ind w:hanging="0" w:end="0"/>
        <w:rPr/>
      </w:pPr>
      <w:r>
        <w:rPr/>
      </w:r>
    </w:p>
    <w:p>
      <w:pPr>
        <w:pStyle w:val="BodyTextIndent"/>
        <w:ind w:hanging="0" w:end="0"/>
        <w:rPr/>
      </w:pPr>
      <w:r>
        <w:rPr/>
        <w:t>Restricting information in an attempt to circumnavigate bad market structure is tantamount to treating the symptoms of a problem rather than the cause and is just as futile.  In addition, if this information is made available to market participants, Enron supports providing this information to jurisdictional regulatory authorities as well, to allow regulation of the market.</w:t>
      </w:r>
    </w:p>
    <w:p>
      <w:pPr>
        <w:pStyle w:val="BodyTextIndent"/>
        <w:ind w:hanging="0" w:end="0"/>
        <w:rPr/>
      </w:pPr>
      <w:r>
        <w:rPr/>
      </w:r>
    </w:p>
    <w:p>
      <w:pPr>
        <w:pStyle w:val="BodyTextIndent2"/>
        <w:rPr/>
      </w:pPr>
      <w:r>
        <w:rPr/>
        <w:t>Q.</w:t>
        <w:tab/>
        <w:t>What specific information should be provided by any RTO to market participants?</w:t>
      </w:r>
    </w:p>
    <w:p>
      <w:pPr>
        <w:pStyle w:val="Normal"/>
        <w:rPr>
          <w:color w:val="000000"/>
          <w:sz w:val="24"/>
          <w:lang w:eastAsia="en-US"/>
        </w:rPr>
      </w:pPr>
      <w:r>
        <w:rPr>
          <w:color w:val="000000"/>
          <w:sz w:val="24"/>
          <w:lang w:eastAsia="en-US"/>
        </w:rPr>
      </w:r>
    </w:p>
    <w:p>
      <w:pPr>
        <w:pStyle w:val="BodyTextIndent3"/>
        <w:rPr/>
      </w:pPr>
      <w:r>
        <w:rPr/>
        <w:t>A.</w:t>
        <w:tab/>
      </w:r>
      <w:r>
        <w:rPr>
          <w:b w:val="false"/>
        </w:rPr>
        <w:t xml:space="preserve">The following is information needed by the market that is currently not provided: </w:t>
      </w:r>
    </w:p>
    <w:p>
      <w:pPr>
        <w:pStyle w:val="Normal"/>
        <w:rPr>
          <w:color w:val="000000"/>
          <w:sz w:val="24"/>
          <w:lang w:eastAsia="en-US"/>
        </w:rPr>
      </w:pPr>
      <w:r>
        <w:rPr>
          <w:color w:val="000000"/>
          <w:sz w:val="24"/>
          <w:lang w:eastAsia="en-US"/>
        </w:rPr>
      </w:r>
    </w:p>
    <w:p>
      <w:pPr>
        <w:pStyle w:val="Normal"/>
        <w:numPr>
          <w:ilvl w:val="4"/>
          <w:numId w:val="1"/>
        </w:numPr>
        <w:tabs>
          <w:tab w:val="clear" w:pos="720"/>
          <w:tab w:val="left" w:pos="1440" w:leader="none"/>
        </w:tabs>
        <w:rPr>
          <w:color w:val="000000"/>
          <w:sz w:val="24"/>
          <w:lang w:eastAsia="en-US"/>
        </w:rPr>
      </w:pPr>
      <w:r>
        <w:rPr>
          <w:color w:val="000000"/>
          <w:sz w:val="24"/>
          <w:lang w:eastAsia="en-US"/>
        </w:rPr>
        <w:t xml:space="preserve">aggragated actual load by ISO zone </w:t>
      </w:r>
    </w:p>
    <w:p>
      <w:pPr>
        <w:pStyle w:val="Normal"/>
        <w:numPr>
          <w:ilvl w:val="4"/>
          <w:numId w:val="1"/>
        </w:numPr>
        <w:tabs>
          <w:tab w:val="clear" w:pos="720"/>
          <w:tab w:val="left" w:pos="990" w:leader="none"/>
          <w:tab w:val="left" w:pos="1440" w:leader="none"/>
        </w:tabs>
        <w:rPr>
          <w:color w:val="000000"/>
          <w:sz w:val="24"/>
          <w:lang w:eastAsia="en-US"/>
        </w:rPr>
      </w:pPr>
      <w:r>
        <w:rPr>
          <w:color w:val="000000"/>
          <w:sz w:val="24"/>
          <w:lang w:eastAsia="en-US"/>
        </w:rPr>
        <w:t>actual branch group flow</w:t>
      </w:r>
    </w:p>
    <w:p>
      <w:pPr>
        <w:pStyle w:val="Normal"/>
        <w:numPr>
          <w:ilvl w:val="4"/>
          <w:numId w:val="1"/>
        </w:numPr>
        <w:tabs>
          <w:tab w:val="clear" w:pos="720"/>
          <w:tab w:val="left" w:pos="1440" w:leader="none"/>
        </w:tabs>
        <w:rPr>
          <w:color w:val="000000"/>
          <w:sz w:val="24"/>
          <w:lang w:eastAsia="en-US"/>
        </w:rPr>
      </w:pPr>
      <w:r>
        <w:rPr>
          <w:color w:val="000000"/>
          <w:sz w:val="24"/>
          <w:lang w:eastAsia="en-US"/>
        </w:rPr>
        <w:t>available transmission capacity (including adjustments for grandfathered capacity)</w:t>
      </w:r>
    </w:p>
    <w:p>
      <w:pPr>
        <w:pStyle w:val="Normal"/>
        <w:numPr>
          <w:ilvl w:val="4"/>
          <w:numId w:val="1"/>
        </w:numPr>
        <w:tabs>
          <w:tab w:val="clear" w:pos="720"/>
          <w:tab w:val="left" w:pos="1440" w:leader="none"/>
        </w:tabs>
        <w:rPr>
          <w:color w:val="000000"/>
          <w:sz w:val="24"/>
          <w:lang w:eastAsia="en-US"/>
        </w:rPr>
      </w:pPr>
      <w:r>
        <w:rPr>
          <w:color w:val="000000"/>
          <w:sz w:val="24"/>
          <w:lang w:eastAsia="en-US"/>
        </w:rPr>
        <w:t>out-of-market call price and volume by hour and contracting method</w:t>
      </w:r>
    </w:p>
    <w:p>
      <w:pPr>
        <w:pStyle w:val="Normal"/>
        <w:numPr>
          <w:ilvl w:val="4"/>
          <w:numId w:val="1"/>
        </w:numPr>
        <w:tabs>
          <w:tab w:val="clear" w:pos="720"/>
          <w:tab w:val="left" w:pos="1440" w:leader="none"/>
        </w:tabs>
        <w:rPr>
          <w:color w:val="000000"/>
          <w:sz w:val="24"/>
          <w:lang w:eastAsia="en-US"/>
        </w:rPr>
      </w:pPr>
      <w:r>
        <w:rPr>
          <w:color w:val="000000"/>
          <w:sz w:val="24"/>
          <w:lang w:eastAsia="en-US"/>
        </w:rPr>
        <w:t>Ex-Post supply curve information (including “inc” and “dec” resource volume, ramp rate, and strike price)</w:t>
      </w:r>
    </w:p>
    <w:p>
      <w:pPr>
        <w:pStyle w:val="Normal"/>
        <w:numPr>
          <w:ilvl w:val="4"/>
          <w:numId w:val="1"/>
        </w:numPr>
        <w:tabs>
          <w:tab w:val="clear" w:pos="720"/>
          <w:tab w:val="left" w:pos="1440" w:leader="none"/>
        </w:tabs>
        <w:rPr>
          <w:color w:val="000000"/>
          <w:sz w:val="24"/>
          <w:lang w:eastAsia="en-US"/>
        </w:rPr>
      </w:pPr>
      <w:r>
        <w:rPr>
          <w:color w:val="000000"/>
          <w:sz w:val="24"/>
          <w:lang w:eastAsia="en-US"/>
        </w:rPr>
        <w:t>input and output data from congestion price and target price determination and the congestion model algorithm (which explains why some areas are congested and some aren’t)</w:t>
      </w:r>
    </w:p>
    <w:p>
      <w:pPr>
        <w:pStyle w:val="Normal"/>
        <w:numPr>
          <w:ilvl w:val="4"/>
          <w:numId w:val="1"/>
        </w:numPr>
        <w:tabs>
          <w:tab w:val="clear" w:pos="720"/>
          <w:tab w:val="left" w:pos="1440" w:leader="none"/>
        </w:tabs>
        <w:rPr>
          <w:sz w:val="24"/>
        </w:rPr>
      </w:pPr>
      <w:r>
        <w:rPr>
          <w:color w:val="000000"/>
          <w:sz w:val="24"/>
          <w:lang w:eastAsia="en-US"/>
        </w:rPr>
        <w:t xml:space="preserve">timely release of anonymous bid and offer data for energy and ancillary services markets as well as </w:t>
      </w:r>
      <w:r>
        <w:rPr>
          <w:sz w:val="24"/>
        </w:rPr>
        <w:t>ancillary service requirements rules and the ancillary services procurement model.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upperLetter"/>
      <w:lvlText w:val="%1."/>
      <w:lvlJc w:val="start"/>
      <w:pPr>
        <w:tabs>
          <w:tab w:val="num" w:pos="720"/>
        </w:tabs>
        <w:ind w:start="720" w:hanging="720"/>
      </w:pPr>
      <w:rPr/>
    </w:lvl>
  </w:abstractNum>
  <w:abstractNum w:abstractNumId="3">
    <w:lvl w:ilvl="0">
      <w:start w:val="17"/>
      <w:numFmt w:val="upperLetter"/>
      <w:lvlText w:val="%1."/>
      <w:lvlJc w:val="start"/>
      <w:pPr>
        <w:tabs>
          <w:tab w:val="num" w:pos="720"/>
        </w:tabs>
        <w:ind w:start="72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4z0">
    <w:name w:val="WW8Num4z0"/>
    <w:qFormat/>
    <w:rPr>
      <w:rFonts w:ascii="Symbol" w:hAnsi="Symbol" w:cs="Symbol"/>
    </w:rPr>
  </w:style>
  <w:style w:type="character" w:styleId="WW8Num5z0">
    <w:name w:val="WW8Num5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4"/>
    </w:rPr>
  </w:style>
  <w:style w:type="paragraph" w:styleId="BodyText3">
    <w:name w:val="Body Text 3"/>
    <w:basedOn w:val="Normal"/>
    <w:qFormat/>
    <w:pPr/>
    <w:rPr>
      <w:sz w:val="24"/>
    </w:rPr>
  </w:style>
  <w:style w:type="paragraph" w:styleId="FootnoteText">
    <w:name w:val="footnote text"/>
    <w:basedOn w:val="Normal"/>
    <w:pPr/>
    <w:rPr/>
  </w:style>
  <w:style w:type="paragraph" w:styleId="BodyTextIndent3">
    <w:name w:val="Body Text Indent 3"/>
    <w:basedOn w:val="Normal"/>
    <w:qFormat/>
    <w:pPr>
      <w:ind w:hanging="720" w:start="720" w:end="0"/>
    </w:pPr>
    <w:rPr>
      <w:b/>
      <w:sz w:val="24"/>
    </w:rPr>
  </w:style>
  <w:style w:type="paragraph" w:styleId="BodyTextIndent2">
    <w:name w:val="Body Text Indent 2"/>
    <w:basedOn w:val="Normal"/>
    <w:qFormat/>
    <w:pPr>
      <w:ind w:hanging="720" w:start="720" w:end="0"/>
    </w:pPr>
    <w:rPr>
      <w:b/>
      <w:color w:val="000000"/>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2001-01-29T19:57:00Z</dcterms:created>
  <dc:creator>mhain</dc:creator>
  <dc:description/>
  <dc:language>en-CA</dc:language>
  <cp:lastModifiedBy>mhain</cp:lastModifiedBy>
  <cp:lastPrinted>2001-01-30T10:01:00Z</cp:lastPrinted>
  <dcterms:modified xsi:type="dcterms:W3CDTF">2001-01-30T16:01:00Z</dcterms:modified>
  <cp:revision>9</cp:revision>
  <dc:subject/>
  <dc:title/>
</cp:coreProperties>
</file>