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Weekly Activity Notes Rollup</w:t>
      </w:r>
    </w:p>
    <w:p>
      <w:pPr>
        <w:pStyle w:val="Heading"/>
        <w:rPr>
          <w:color w:val="FF0000"/>
        </w:rPr>
      </w:pPr>
      <w:r>
        <w:rPr>
          <w:color w:val="FF0000"/>
        </w:rPr>
        <w:t>Enron Europe Markets</w:t>
      </w:r>
    </w:p>
    <w:p>
      <w:pPr>
        <w:pStyle w:val="Normal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>
          <w:b/>
          <w:i/>
        </w:rPr>
        <w:t>Week Ending:</w:t>
      </w:r>
      <w:r>
        <w:rPr/>
        <w:t xml:space="preserve"> 5/30/01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>
          <w:b/>
        </w:rPr>
        <w:t>New:</w:t>
      </w:r>
      <w:r>
        <w:rPr/>
        <w:tab/>
        <w:t>PAs in process</w:t>
        <w:tab/>
        <w:t xml:space="preserve">          </w:t>
        <w:tab/>
        <w:t xml:space="preserve">           55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ab/>
        <w:t>Execute Ids</w:t>
        <w:tab/>
        <w:tab/>
        <w:tab/>
        <w:t>0</w:t>
        <w:tab/>
        <w:t xml:space="preserve">    </w:t>
        <w:tab/>
        <w:t xml:space="preserve">   </w:t>
        <w:tab/>
        <w:tab/>
        <w:t xml:space="preserve">                  </w:t>
        <w:tab/>
        <w:t xml:space="preserve"> 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 xml:space="preserve"> 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ab/>
        <w:t>Initial Trades:</w:t>
        <w:tab/>
        <w:t xml:space="preserve">        </w:t>
        <w:tab/>
        <w:t xml:space="preserve">            1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ab/>
        <w:t>Guest IDs</w:t>
        <w:tab/>
        <w:t xml:space="preserve"> </w:t>
        <w:tab/>
        <w:t xml:space="preserve">          38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ind w:hanging="3630" w:start="3597" w:end="0"/>
        <w:rPr>
          <w:b/>
          <w:i/>
          <w:i/>
        </w:rPr>
      </w:pPr>
      <w:r>
        <w:rPr>
          <w:b/>
          <w:i/>
        </w:rPr>
        <w:t>New Trades</w:t>
      </w:r>
      <w:r>
        <w:rPr>
          <w:bCs/>
          <w:iCs/>
        </w:rPr>
        <w:t>:</w:t>
        <w:tab/>
        <w:t>UK Power: BP Gas Marketing Ltd.</w:t>
      </w:r>
    </w:p>
    <w:p>
      <w:pPr>
        <w:pStyle w:val="Normal"/>
        <w:ind w:hanging="3630" w:start="3597" w:end="0"/>
        <w:rPr>
          <w:b/>
        </w:rPr>
      </w:pPr>
      <w:r>
        <w:rPr>
          <w:b/>
        </w:rPr>
        <w:tab/>
      </w:r>
    </w:p>
    <w:p>
      <w:pPr>
        <w:pStyle w:val="Normal"/>
        <w:ind w:hanging="2910" w:start="2877" w:end="0"/>
        <w:rPr/>
      </w:pPr>
      <w:r>
        <w:rPr>
          <w:b/>
          <w:i/>
        </w:rPr>
        <w:t>New Ex IDs:</w:t>
      </w:r>
      <w:r>
        <w:rPr>
          <w:bCs/>
          <w:iCs/>
        </w:rPr>
        <w:t xml:space="preserve">  </w:t>
        <w:tab/>
        <w:tab/>
        <w:tab/>
        <w:t>None to Report</w:t>
        <w:tab/>
      </w:r>
    </w:p>
    <w:p>
      <w:pPr>
        <w:pStyle w:val="Normal"/>
        <w:ind w:hanging="2160" w:start="2127" w:end="0"/>
        <w:rPr/>
      </w:pPr>
      <w:r>
        <w:rPr/>
        <w:tab/>
      </w:r>
    </w:p>
    <w:p>
      <w:pPr>
        <w:pStyle w:val="Normal"/>
        <w:ind w:hanging="3630" w:start="3597" w:end="0"/>
        <w:rPr>
          <w:b/>
          <w:i/>
          <w:i/>
        </w:rPr>
      </w:pPr>
      <w:r>
        <w:rPr>
          <w:b/>
          <w:i/>
        </w:rPr>
        <w:t>New Pas:</w:t>
      </w:r>
      <w:r>
        <w:rPr/>
        <w:t xml:space="preserve">        </w:t>
        <w:tab/>
        <w:tab/>
        <w:t>Solikamsk Magnesium Works, Oppland Energi Produksjon AS, ABB Treasury Centre, Germany, Ebone broadband Services (UK) Ltd, BMG Metall &amp; Recycling GmbH, TIF "Avers", cargobiz.com AG, Formatel</w:t>
        <w:tab/>
        <w:t>DEB Deutsche Energiehandels Beratungsgesellschaft, Noble Asia Pacific Ltd.</w:t>
      </w:r>
    </w:p>
    <w:p>
      <w:pPr>
        <w:pStyle w:val="Normal"/>
        <w:ind w:hanging="2160" w:start="2160" w:end="0"/>
        <w:rPr/>
      </w:pPr>
      <w:r>
        <w:rPr/>
        <w:tab/>
        <w:t xml:space="preserve"> </w:t>
      </w:r>
    </w:p>
    <w:sectPr>
      <w:footerReference w:type="default" r:id="rId2"/>
      <w:type w:val="nextPage"/>
      <w:pgSz w:w="12240" w:h="15840"/>
      <w:pgMar w:left="1080" w:right="108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  <w:t xml:space="preserve">                       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7041515</wp:posOffset>
              </wp:positionH>
              <wp:positionV relativeFrom="paragraph">
                <wp:posOffset>-12065</wp:posOffset>
              </wp:positionV>
              <wp:extent cx="1460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3.8pt;mso-wrap-distance-left:0pt;mso-wrap-distance-right:0pt;mso-wrap-distance-top:0pt;mso-wrap-distance-bottom:0pt;margin-top:-0.95pt;mso-position-vertical-relative:text;margin-left:554.4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color w:val="00008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/>
  </w:style>
  <w:style w:type="paragraph" w:styleId="BodyTextIndent2">
    <w:name w:val="Body Text Indent 2"/>
    <w:basedOn w:val="Normal"/>
    <w:qFormat/>
    <w:pPr>
      <w:ind w:firstLine="36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ind w:hanging="0" w:start="360" w:end="0"/>
      <w:jc w:val="both"/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2001-03-16T07:48:00Z</dcterms:created>
  <dc:creator>bschorr</dc:creator>
  <dc:description/>
  <dc:language>en-CA</dc:language>
  <cp:lastModifiedBy>joliver3</cp:lastModifiedBy>
  <cp:lastPrinted>2000-09-14T16:12:00Z</cp:lastPrinted>
  <dcterms:modified xsi:type="dcterms:W3CDTF">2001-06-01T07:36:00Z</dcterms:modified>
  <cp:revision>66</cp:revision>
  <dc:subject/>
  <dc:title>Weekly Activity Notes</dc:title>
</cp:coreProperties>
</file>