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Weekly Activity Notes Rollup</w:t>
      </w:r>
    </w:p>
    <w:p>
      <w:pPr>
        <w:pStyle w:val="Heading"/>
        <w:rPr>
          <w:color w:val="FF0000"/>
        </w:rPr>
      </w:pPr>
      <w:r>
        <w:rPr>
          <w:color w:val="FF0000"/>
        </w:rPr>
        <w:t>Enron Europe Markets</w:t>
      </w:r>
    </w:p>
    <w:p>
      <w:pPr>
        <w:pStyle w:val="Normal"/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</w:r>
    </w:p>
    <w:p>
      <w:pPr>
        <w:pStyle w:val="Normal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rPr/>
      </w:pPr>
      <w:r>
        <w:rPr>
          <w:b/>
          <w:i/>
        </w:rPr>
        <w:t>Week Ending:</w:t>
      </w:r>
      <w:r>
        <w:rPr/>
        <w:t xml:space="preserve"> 5/23/01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Foot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>
          <w:b/>
        </w:rPr>
        <w:t>New:</w:t>
      </w:r>
      <w:r>
        <w:rPr/>
        <w:tab/>
        <w:t>PAs in process</w:t>
        <w:tab/>
        <w:t xml:space="preserve">          </w:t>
        <w:tab/>
        <w:t xml:space="preserve">          43</w:t>
      </w:r>
    </w:p>
    <w:p>
      <w:pPr>
        <w:pStyle w:val="Normal"/>
        <w:rPr/>
      </w:pPr>
      <w:r>
        <w:rPr/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ab/>
        <w:t>Execute Ids</w:t>
        <w:tab/>
        <w:tab/>
        <w:tab/>
        <w:t>1</w:t>
        <w:tab/>
        <w:t xml:space="preserve">    </w:t>
        <w:tab/>
        <w:t xml:space="preserve">   </w:t>
        <w:tab/>
        <w:tab/>
        <w:t xml:space="preserve">                  </w:t>
        <w:tab/>
        <w:t xml:space="preserve"> 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 xml:space="preserve"> 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ab/>
        <w:t>Initial Trades:</w:t>
        <w:tab/>
        <w:t xml:space="preserve">        </w:t>
        <w:tab/>
        <w:t xml:space="preserve">            3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 xml:space="preserve">            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ab/>
        <w:t>Guest IDs</w:t>
        <w:tab/>
        <w:t xml:space="preserve"> </w:t>
        <w:tab/>
        <w:t xml:space="preserve">          29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ind w:hanging="3630" w:start="3597" w:end="0"/>
        <w:rPr/>
      </w:pPr>
      <w:r>
        <w:rPr>
          <w:b/>
          <w:i/>
        </w:rPr>
        <w:t>New Trades:</w:t>
      </w:r>
      <w:r>
        <w:rPr>
          <w:b/>
        </w:rPr>
        <w:tab/>
        <w:tab/>
        <w:t xml:space="preserve">Austrian Power:  </w:t>
      </w:r>
      <w:r>
        <w:rPr>
          <w:bCs/>
        </w:rPr>
        <w:t xml:space="preserve">Entrade GmbH, </w:t>
      </w:r>
      <w:r>
        <w:rPr>
          <w:b/>
        </w:rPr>
        <w:t>Metals</w:t>
      </w:r>
      <w:r>
        <w:rPr>
          <w:bCs/>
        </w:rPr>
        <w:t xml:space="preserve">: KGHM Polish Copper Ltd., Copper LME Registered Contract, </w:t>
      </w:r>
      <w:r>
        <w:rPr>
          <w:b/>
        </w:rPr>
        <w:t>UK Gas:</w:t>
      </w:r>
      <w:r>
        <w:rPr>
          <w:bCs/>
        </w:rPr>
        <w:t xml:space="preserve"> Coryton Energy Company Ltd </w:t>
      </w:r>
    </w:p>
    <w:p>
      <w:pPr>
        <w:pStyle w:val="Normal"/>
        <w:ind w:hanging="2160" w:start="2127" w:end="0"/>
        <w:rPr>
          <w:b/>
          <w:bCs/>
        </w:rPr>
      </w:pPr>
      <w:r>
        <w:rPr>
          <w:b/>
          <w:bCs/>
        </w:rPr>
      </w:r>
    </w:p>
    <w:p>
      <w:pPr>
        <w:pStyle w:val="Normal"/>
        <w:ind w:hanging="2910" w:start="2877" w:end="0"/>
        <w:rPr/>
      </w:pPr>
      <w:r>
        <w:rPr>
          <w:b/>
          <w:i/>
        </w:rPr>
        <w:t>New Ex IDs:</w:t>
      </w:r>
      <w:r>
        <w:rPr>
          <w:bCs/>
          <w:iCs/>
        </w:rPr>
        <w:t xml:space="preserve">  </w:t>
        <w:tab/>
        <w:tab/>
        <w:tab/>
        <w:t>Storm Telecommunications Ltd.</w:t>
        <w:tab/>
      </w:r>
    </w:p>
    <w:p>
      <w:pPr>
        <w:pStyle w:val="Normal"/>
        <w:ind w:hanging="2160" w:start="2127" w:end="0"/>
        <w:rPr/>
      </w:pPr>
      <w:r>
        <w:rPr/>
        <w:tab/>
      </w:r>
    </w:p>
    <w:p>
      <w:pPr>
        <w:pStyle w:val="Normal"/>
        <w:ind w:hanging="3630" w:start="3597" w:end="0"/>
        <w:rPr>
          <w:bCs/>
          <w:iCs/>
        </w:rPr>
      </w:pPr>
      <w:r>
        <w:rPr>
          <w:b/>
          <w:i/>
        </w:rPr>
        <w:t>New Pas:</w:t>
      </w:r>
      <w:r>
        <w:rPr/>
        <w:t xml:space="preserve">        </w:t>
        <w:tab/>
        <w:tab/>
        <w:t>International Power Plc, Smartestenergy Limited, Global Crossing Europe Ltd</w:t>
      </w:r>
    </w:p>
    <w:p>
      <w:pPr>
        <w:pStyle w:val="Normal"/>
        <w:ind w:hanging="2160" w:start="2160" w:end="0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ind w:hanging="2160" w:start="2160" w:end="0"/>
        <w:rPr/>
      </w:pPr>
      <w:r>
        <w:rPr/>
        <w:tab/>
        <w:t xml:space="preserve"> </w:t>
      </w:r>
    </w:p>
    <w:sectPr>
      <w:footerReference w:type="default" r:id="rId2"/>
      <w:type w:val="nextPage"/>
      <w:pgSz w:w="12240" w:h="15840"/>
      <w:pgMar w:left="1080" w:right="108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w:tab/>
      <w:tab/>
      <w:t xml:space="preserve">                       </w:t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page">
                <wp:posOffset>7041515</wp:posOffset>
              </wp:positionH>
              <wp:positionV relativeFrom="paragraph">
                <wp:posOffset>-12065</wp:posOffset>
              </wp:positionV>
              <wp:extent cx="1460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3.8pt;mso-wrap-distance-left:0pt;mso-wrap-distance-right:0pt;mso-wrap-distance-top:0pt;mso-wrap-distance-bottom:0pt;margin-top:-0.95pt;mso-position-vertical-relative:text;margin-left:554.45pt;mso-position-horizontal-relative:page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/>
    <w:rPr>
      <w:color w:val="00008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720" w:start="720" w:end="0"/>
    </w:pPr>
    <w:rPr/>
  </w:style>
  <w:style w:type="paragraph" w:styleId="BodyTextIndent2">
    <w:name w:val="Body Text Indent 2"/>
    <w:basedOn w:val="Normal"/>
    <w:qFormat/>
    <w:pPr>
      <w:ind w:firstLine="36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3">
    <w:name w:val="Body Text Indent 3"/>
    <w:basedOn w:val="Normal"/>
    <w:qFormat/>
    <w:pPr>
      <w:ind w:hanging="0" w:start="360" w:end="0"/>
      <w:jc w:val="both"/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2001-03-16T07:48:00Z</dcterms:created>
  <dc:creator>bschorr</dc:creator>
  <dc:description/>
  <dc:language>en-CA</dc:language>
  <cp:lastModifiedBy>joliver3</cp:lastModifiedBy>
  <cp:lastPrinted>2000-09-14T16:12:00Z</cp:lastPrinted>
  <dcterms:modified xsi:type="dcterms:W3CDTF">2001-05-25T08:37:00Z</dcterms:modified>
  <cp:revision>61</cp:revision>
  <dc:subject/>
  <dc:title>Weekly Activity Notes</dc:title>
</cp:coreProperties>
</file>