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r>
    </w:p>
    <w:p>
      <w:pPr>
        <w:pStyle w:val="Normal"/>
        <w:jc w:val="center"/>
        <w:rPr>
          <w:sz w:val="22"/>
        </w:rPr>
      </w:pPr>
      <w:r>
        <w:rPr>
          <w:sz w:val="22"/>
        </w:rPr>
        <w:t>July 12, 2000</w:t>
      </w:r>
    </w:p>
    <w:p>
      <w:pPr>
        <w:pStyle w:val="Normal"/>
        <w:jc w:val="both"/>
        <w:rPr>
          <w:b/>
          <w:sz w:val="22"/>
        </w:rPr>
      </w:pPr>
      <w:r>
        <w:rPr>
          <w:b/>
          <w:sz w:val="22"/>
        </w:rPr>
      </w:r>
    </w:p>
    <w:p>
      <w:pPr>
        <w:pStyle w:val="Normal"/>
        <w:jc w:val="both"/>
        <w:rPr>
          <w:b/>
          <w:sz w:val="22"/>
        </w:rPr>
      </w:pPr>
      <w:r>
        <w:rPr>
          <w:b/>
          <w:sz w:val="22"/>
        </w:rPr>
      </w:r>
    </w:p>
    <w:p>
      <w:pPr>
        <w:pStyle w:val="Normal"/>
        <w:jc w:val="both"/>
        <w:rPr>
          <w:bCs/>
          <w:sz w:val="22"/>
        </w:rPr>
      </w:pPr>
      <w:r>
        <w:rPr>
          <w:bCs/>
          <w:sz w:val="22"/>
        </w:rPr>
        <w:t>William G. Sherk</w:t>
      </w:r>
    </w:p>
    <w:p>
      <w:pPr>
        <w:pStyle w:val="Normal"/>
        <w:jc w:val="both"/>
        <w:rPr>
          <w:bCs/>
          <w:sz w:val="22"/>
        </w:rPr>
      </w:pPr>
      <w:r>
        <w:rPr>
          <w:bCs/>
          <w:sz w:val="22"/>
        </w:rPr>
        <w:t>Director of Utilities</w:t>
      </w:r>
    </w:p>
    <w:p>
      <w:pPr>
        <w:pStyle w:val="Normal"/>
        <w:jc w:val="both"/>
        <w:rPr>
          <w:bCs/>
          <w:sz w:val="22"/>
        </w:rPr>
      </w:pPr>
      <w:r>
        <w:rPr>
          <w:bCs/>
          <w:sz w:val="22"/>
        </w:rPr>
        <w:t>City of Rocky Mount, NC</w:t>
      </w:r>
    </w:p>
    <w:p>
      <w:pPr>
        <w:pStyle w:val="Normal"/>
        <w:jc w:val="both"/>
        <w:rPr>
          <w:bCs/>
          <w:sz w:val="22"/>
        </w:rPr>
      </w:pPr>
      <w:r>
        <w:rPr>
          <w:bCs/>
          <w:sz w:val="22"/>
        </w:rPr>
        <w:t>One Government Plaza</w:t>
      </w:r>
    </w:p>
    <w:p>
      <w:pPr>
        <w:pStyle w:val="Normal"/>
        <w:jc w:val="both"/>
        <w:rPr>
          <w:bCs/>
          <w:sz w:val="22"/>
        </w:rPr>
      </w:pPr>
      <w:r>
        <w:rPr>
          <w:bCs/>
          <w:sz w:val="22"/>
        </w:rPr>
        <w:t>P. O. Box 1180</w:t>
      </w:r>
    </w:p>
    <w:p>
      <w:pPr>
        <w:pStyle w:val="Normal"/>
        <w:jc w:val="both"/>
        <w:rPr>
          <w:sz w:val="22"/>
        </w:rPr>
      </w:pPr>
      <w:r>
        <w:rPr>
          <w:bCs/>
          <w:sz w:val="22"/>
        </w:rPr>
        <w:t>Rocky Mount, NC 27802-1180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Mr. Sherk:</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of the City of Rocky Mount, North Carolina (“the City”) and Enron North America Corp., a Delaware corporation (“ENA”), to evaluate the possibility of ENA and the City entering into a gas supply contract as generally described in Exhibit A (“the Transaction”) for a proposed power project to be constructed in Edgecombe County. The City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Transaction.  The matters set forth herein are not intended to and do not constitute a binding agreement of the Parties with respect to the Transaction, and the only binding commitments are those contained in paragraphs 5 and 8 herein.  Any such binding agreement will only arise upon the negotiation, execution and delivery of mutually satisfactory definitive agreements and the satisfaction of the conditions set forth therein, including the approval of such agreements and the Transaction by the respective board of directors (or other governing authority) of each Party.</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both"/>
        <w:rPr>
          <w:b/>
          <w:sz w:val="22"/>
        </w:rPr>
      </w:pPr>
      <w:r>
        <w:rPr>
          <w:b/>
          <w:sz w:val="22"/>
        </w:rPr>
        <w:t xml:space="preserve"> </w:t>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discuss the Transaction and the necessary agreements relating thereto. ENA may conduct a due diligence investigation regarding the Transaction.  The City will assist ENA in such investigation and the City will disclose to ENA all relevant information in the City's possession pertaining thereto, [except for trade secrets] </w:t>
      </w:r>
      <w:r>
        <w:rPr>
          <w:sz w:val="22"/>
          <w:u w:val="single"/>
        </w:rPr>
        <w:t>NOTE: confidentiality provisions of 5 protect the City – we can enter into</w:t>
      </w:r>
      <w:r>
        <w:rPr>
          <w:sz w:val="22"/>
        </w:rPr>
        <w:t xml:space="preserve"> </w:t>
      </w:r>
      <w:r>
        <w:rPr>
          <w:sz w:val="22"/>
          <w:u w:val="single"/>
        </w:rPr>
        <w:t>a more elaborate confidentiality agreement if desired</w:t>
      </w:r>
      <w:r>
        <w:rPr>
          <w:sz w:val="22"/>
        </w:rPr>
        <w:t xml:space="preserve">. It is understood that ENA and the City are not, by virtue of this agreement, undertaking any liability with regard to the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Although neither Party is obligated hereunder to enter into any definitive agreement with the other with respect to the Transaction, it is currently anticipated that any definitive agreement will include, without limitation, the basic business points identified in Exhibit A attached hereto.</w:t>
      </w:r>
    </w:p>
    <w:p>
      <w:pPr>
        <w:pStyle w:val="Normal"/>
        <w:jc w:val="both"/>
        <w:rPr>
          <w:b/>
          <w:sz w:val="22"/>
        </w:rPr>
      </w:pPr>
      <w:r>
        <w:rPr>
          <w:b/>
          <w:sz w:val="22"/>
        </w:rPr>
      </w:r>
    </w:p>
    <w:p>
      <w:pPr>
        <w:pStyle w:val="Normal"/>
        <w:ind w:firstLine="720" w:end="0"/>
        <w:jc w:val="both"/>
        <w:rPr>
          <w:b/>
          <w:sz w:val="22"/>
        </w:rPr>
      </w:pPr>
      <w:r>
        <w:rPr>
          <w:sz w:val="22"/>
        </w:rPr>
        <w:t>3.</w:t>
        <w:tab/>
        <w:t>This Agreement shall remain in force and effect until October 1, 2000 (the “Term”). This Agreement may be terminated by either Party prior to October 1 with one week’s written notice should either Party reasonably conclude that (a) the City will not be able to fulfill anticipated gas needs for the Transaction, or (b) that there are regulatory or other legal obstacles to timely concluding the Transaction.  The provisions of paragraph 5 regarding confidentiality shall survive the termination of this Agreement.</w:t>
      </w:r>
    </w:p>
    <w:p>
      <w:pPr>
        <w:pStyle w:val="Normal"/>
        <w:jc w:val="both"/>
        <w:rPr>
          <w:b/>
          <w:sz w:val="22"/>
        </w:rPr>
      </w:pPr>
      <w:r>
        <w:rPr>
          <w:b/>
          <w:sz w:val="22"/>
        </w:rPr>
      </w:r>
    </w:p>
    <w:p>
      <w:pPr>
        <w:pStyle w:val="Normal"/>
        <w:ind w:firstLine="720" w:end="0"/>
        <w:jc w:val="both"/>
        <w:rPr>
          <w:sz w:val="22"/>
        </w:rPr>
      </w:pPr>
      <w:r>
        <w:rPr>
          <w:sz w:val="22"/>
        </w:rPr>
        <w:t>4.</w:t>
        <w:tab/>
        <w:t xml:space="preserve">Neither Party may assign this Agreement without the prior written approval of the other Party, which approval shall not be unreasonably withheld or delayed.  Notwithstanding the foregoing, however, ENA may assign its obligations hereunder to any of its affiliates or to a lender for the purposes of financing.  </w:t>
      </w:r>
    </w:p>
    <w:p>
      <w:pPr>
        <w:pStyle w:val="Normal"/>
        <w:ind w:firstLine="720" w:end="0"/>
        <w:jc w:val="both"/>
        <w:rPr>
          <w:sz w:val="22"/>
        </w:rPr>
      </w:pPr>
      <w:r>
        <w:rPr>
          <w:sz w:val="22"/>
        </w:rPr>
      </w:r>
    </w:p>
    <w:p>
      <w:pPr>
        <w:pStyle w:val="Normal"/>
        <w:ind w:firstLine="720" w:end="0"/>
        <w:jc w:val="both"/>
        <w:rPr>
          <w:b/>
          <w:sz w:val="22"/>
        </w:rPr>
      </w:pPr>
      <w:r>
        <w:rPr>
          <w:sz w:val="22"/>
        </w:rPr>
        <w:t xml:space="preserve"> </w:t>
      </w:r>
      <w:r>
        <w:rPr>
          <w:sz w:val="22"/>
        </w:rPr>
        <w:t>5.</w:t>
      </w:r>
      <w:r>
        <w:rPr>
          <w:b/>
          <w:sz w:val="22"/>
        </w:rPr>
        <w:tab/>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Transaction.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ind w:firstLine="720" w:end="0"/>
        <w:jc w:val="both"/>
        <w:rPr>
          <w:b/>
          <w:sz w:val="22"/>
        </w:rPr>
      </w:pPr>
      <w:r>
        <w:rPr>
          <w:b/>
          <w:sz w:val="22"/>
        </w:rPr>
      </w:r>
    </w:p>
    <w:p>
      <w:pPr>
        <w:pStyle w:val="Normal"/>
        <w:ind w:firstLine="720" w:end="0"/>
        <w:jc w:val="both"/>
        <w:rPr/>
      </w:pPr>
      <w:r>
        <w:rPr>
          <w:sz w:val="22"/>
        </w:rPr>
        <w:t>6.</w:t>
      </w:r>
      <w:r>
        <w:rPr>
          <w:b/>
          <w:sz w:val="22"/>
        </w:rPr>
        <w:tab/>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7.</w:t>
      </w:r>
      <w:r>
        <w:rPr>
          <w:b/>
          <w:sz w:val="22"/>
        </w:rPr>
        <w:tab/>
      </w:r>
      <w:r>
        <w:rPr>
          <w:sz w:val="22"/>
        </w:rPr>
        <w:t>No Party shall be bound by any definitive agreement relating to the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ind w:firstLine="720" w:end="0"/>
        <w:jc w:val="both"/>
        <w:rPr>
          <w:sz w:val="22"/>
        </w:rPr>
      </w:pPr>
      <w:r>
        <w:rPr>
          <w:sz w:val="22"/>
        </w:rPr>
      </w:r>
    </w:p>
    <w:p>
      <w:pPr>
        <w:pStyle w:val="Normal"/>
        <w:ind w:firstLine="720" w:end="0"/>
        <w:jc w:val="both"/>
        <w:rPr>
          <w:sz w:val="22"/>
        </w:rPr>
      </w:pPr>
      <w:r>
        <w:rPr>
          <w:sz w:val="22"/>
        </w:rPr>
        <w:t>8.</w:t>
        <w:tab/>
        <w:t>Both Parties agree that during the Term of this Agreement each will deal exclusively with the other concerning the Transaction, and neither Party shall work with other persons with regard to a similar gas supply contract in Edgecombe or Nash County without the prior written consent of the other.</w:t>
      </w:r>
    </w:p>
    <w:p>
      <w:pPr>
        <w:pStyle w:val="Normal"/>
        <w:jc w:val="both"/>
        <w:rPr>
          <w:b/>
          <w:sz w:val="22"/>
        </w:rPr>
      </w:pPr>
      <w:r>
        <w:rPr>
          <w:b/>
          <w:sz w:val="22"/>
        </w:rPr>
      </w:r>
    </w:p>
    <w:p>
      <w:pPr>
        <w:pStyle w:val="Normal"/>
        <w:ind w:firstLine="720" w:end="0"/>
        <w:jc w:val="both"/>
        <w:rPr/>
      </w:pPr>
      <w:r>
        <w:rPr>
          <w:sz w:val="22"/>
        </w:rPr>
        <w:t>9.</w:t>
      </w:r>
      <w:r>
        <w:rPr>
          <w:b/>
          <w:sz w:val="22"/>
        </w:rPr>
        <w:tab/>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No failure to exercise, no delay in exercising, and no course of dealing or trade custom with respect to, any provision of this Agreement shall waive such provision. There are not third party beneficiaries of this Agreement.</w:t>
      </w:r>
    </w:p>
    <w:p>
      <w:pPr>
        <w:pStyle w:val="Normal"/>
        <w:jc w:val="both"/>
        <w:rPr>
          <w:sz w:val="22"/>
        </w:rPr>
      </w:pPr>
      <w:r>
        <w:rPr>
          <w:sz w:val="22"/>
        </w:rPr>
      </w:r>
    </w:p>
    <w:p>
      <w:pPr>
        <w:pStyle w:val="Normal"/>
        <w:jc w:val="both"/>
        <w:rPr>
          <w:sz w:val="22"/>
        </w:rPr>
      </w:pPr>
      <w:r>
        <w:rPr>
          <w:sz w:val="22"/>
        </w:rPr>
      </w:r>
    </w:p>
    <w:p>
      <w:pPr>
        <w:pStyle w:val="Normal"/>
        <w:ind w:firstLine="720" w:end="0"/>
        <w:jc w:val="both"/>
        <w:rPr/>
      </w:pPr>
      <w:r>
        <w:rPr>
          <w:sz w:val="22"/>
        </w:rPr>
        <w:t>10.</w:t>
      </w:r>
      <w:r>
        <w:rPr>
          <w:b/>
          <w:sz w:val="22"/>
        </w:rPr>
        <w:tab/>
      </w:r>
      <w:r>
        <w:rPr>
          <w:sz w:val="22"/>
        </w:rPr>
        <w:t>THIS AGREEMENT SHALL BE GOVERNED BY AND CONSTRUED IN ACCORDANCE WITH THE LAWS OF THE STATE OF NORTH CAROLINA, WITHOUT GIVING EFFECT TO CONFLICT OF LAWS PRINCIPLES.</w:t>
      </w:r>
    </w:p>
    <w:p>
      <w:pPr>
        <w:pStyle w:val="Normal"/>
        <w:jc w:val="both"/>
        <w:rPr>
          <w:sz w:val="22"/>
        </w:rPr>
      </w:pPr>
      <w:r>
        <w:rPr>
          <w:sz w:val="22"/>
        </w:rPr>
      </w:r>
    </w:p>
    <w:p>
      <w:pPr>
        <w:pStyle w:val="Normal"/>
        <w:ind w:firstLine="720" w:end="0"/>
        <w:jc w:val="both"/>
        <w:rPr/>
      </w:pPr>
      <w:r>
        <w:rPr>
          <w:sz w:val="22"/>
        </w:rPr>
        <w:t>11.</w:t>
      </w:r>
      <w:r>
        <w:rPr>
          <w:b/>
          <w:sz w:val="22"/>
        </w:rPr>
        <w:tab/>
      </w:r>
      <w:r>
        <w:rPr>
          <w:bCs/>
          <w:sz w:val="22"/>
        </w:rPr>
        <w:t>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EXCEPT WITH RESPECT TO THE PROVISIONS OF PARAGRAPH 5 AND 8; AND (3) MAY NOT BE RELIED UPON BY A PARTY AS THE BASIS FOR A CONTRACT BY ESTOPPEL OR OTHERWISE.  A BINDING COMMITMENT WITH RESPECT TO THE TRANSACTION CAN ONLY RESULT FROM THE EXECUTION AND DELIVERY OF DEFINITIVE AGREEMENTS.  THE PARTIES AGREE THAT NO ACTIONS ON THE PART OF EITHER PARTY SHALL BE DEEMED TO RENDER THIS AGREEMENT A BINDING OBLIGATION.</w:t>
      </w:r>
    </w:p>
    <w:p>
      <w:pPr>
        <w:pStyle w:val="Normal"/>
        <w:jc w:val="both"/>
        <w:rPr>
          <w:bCs/>
          <w:sz w:val="22"/>
        </w:rPr>
      </w:pPr>
      <w:r>
        <w:rPr>
          <w:bCs/>
          <w:sz w:val="22"/>
        </w:rPr>
      </w:r>
    </w:p>
    <w:p>
      <w:pPr>
        <w:pStyle w:val="Normal"/>
        <w:ind w:firstLine="720" w:end="0"/>
        <w:jc w:val="both"/>
        <w:rPr/>
      </w:pPr>
      <w:r>
        <w:rPr>
          <w:sz w:val="22"/>
        </w:rPr>
        <w:t>12.</w:t>
      </w:r>
      <w:r>
        <w:rPr>
          <w:b/>
          <w:sz w:val="22"/>
        </w:rPr>
        <w:tab/>
      </w:r>
      <w:r>
        <w:rPr>
          <w:sz w:val="22"/>
        </w:rPr>
        <w:t>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13.</w:t>
      </w:r>
      <w:r>
        <w:rPr>
          <w:b/>
          <w:sz w:val="22"/>
        </w:rPr>
        <w:tab/>
      </w:r>
      <w:r>
        <w:rPr>
          <w:sz w:val="22"/>
        </w:rPr>
        <w:t>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binding arbitration.  Unless otherwise agreed by the Parties, the arbitration will be submitted to the American Arbitration Association (“AAA”) and will be held in Atlanta, Georgia.  The arbitration will be held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14.</w:t>
        <w:tab/>
      </w:r>
      <w:r>
        <w:rPr>
          <w:b/>
          <w:sz w:val="22"/>
        </w:rPr>
        <w:t>NOTWITHSTANDING ANYTHING HEREIN TO THE CONTRARY, NEITHER ENA NOR THE CITY, NOR THEIR RESPECTIVE DIRECTORS, OFFICERS, SHAREHOLDERS, MANAGERS, OR EMPLOYEES WILL BE LIABLE TO ANY OTHER PARTY, OR ITS DIRECTORS, OFFICERS, SHAREHOLDERS, MANAGERS OR EMPLOYEES, WHETHER UNDER BREACH OF CONTRACT, BREACH OF WARRANTY, TORT LIABILITY (INCLUDING WITHOUT LIMITATION NEGLIGENCE), STRICT LIABILITY OR OTHERWISE, FOR ANY INCIDENTAL, SPECIAL, INDIRECT, CONSEQUENTIAL, PUNITIVE OR EXEMPLARY DAMAGES WHATSOEVER (INCLUDING WITHOUT LIMITATION LOST PROFITS OR REVENUE) OF ANY NATURE ARISING OUT OF OR RESULTING FROM THE NEGOTIATION OR PERFORMANCE OF THIS AGREEMENT.</w:t>
      </w:r>
      <w:r>
        <w:br w:type="page"/>
      </w:r>
    </w:p>
    <w:p>
      <w:pPr>
        <w:pStyle w:val="Normal"/>
        <w:ind w:firstLine="720" w:end="0"/>
        <w:jc w:val="both"/>
        <w:rPr>
          <w:sz w:val="22"/>
        </w:rPr>
      </w:pPr>
      <w:r>
        <w:rPr>
          <w:sz w:val="22"/>
        </w:rPr>
      </w:r>
    </w:p>
    <w:p>
      <w:pPr>
        <w:pStyle w:val="Normal"/>
        <w:jc w:val="both"/>
        <w:rPr>
          <w:sz w:val="22"/>
        </w:rPr>
      </w:pPr>
      <w:r>
        <w:rPr>
          <w:sz w:val="22"/>
        </w:rPr>
        <w:t>If the provisions of this Agreement correctly set forth our current understanding,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2000:</w:t>
      </w:r>
    </w:p>
    <w:p>
      <w:pPr>
        <w:pStyle w:val="Normal"/>
        <w:keepNext w:val="true"/>
        <w:keepLines/>
        <w:jc w:val="both"/>
        <w:rPr>
          <w:b/>
          <w:sz w:val="22"/>
        </w:rPr>
      </w:pPr>
      <w:r>
        <w:rPr>
          <w:b/>
          <w:sz w:val="22"/>
        </w:rPr>
      </w:r>
    </w:p>
    <w:p>
      <w:pPr>
        <w:pStyle w:val="Heading1"/>
        <w:ind w:hanging="0" w:start="0"/>
        <w:rPr/>
      </w:pPr>
      <w:r>
        <w:rPr/>
        <w:t>CITY OF ROCKY MOUNT</w:t>
      </w:r>
    </w:p>
    <w:p>
      <w:pPr>
        <w:pStyle w:val="Normal"/>
        <w:rPr/>
      </w:pPr>
      <w:r>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
        <w:rPr/>
      </w:pPr>
      <w:r>
        <w:rPr/>
        <w:t>Exhibit A</w:t>
      </w:r>
    </w:p>
    <w:p>
      <w:pPr>
        <w:pStyle w:val="Heading"/>
        <w:rPr/>
      </w:pPr>
      <w:r>
        <w:rPr/>
        <w:t>Gas Supply and Land Lease Term Sheet</w:t>
      </w:r>
    </w:p>
    <w:p>
      <w:pPr>
        <w:pStyle w:val="Normal"/>
        <w:rPr>
          <w:sz w:val="24"/>
        </w:rPr>
      </w:pPr>
      <w:r>
        <w:rPr>
          <w:sz w:val="24"/>
        </w:rPr>
      </w:r>
    </w:p>
    <w:tbl>
      <w:tblPr>
        <w:tblW w:w="8640" w:type="dxa"/>
        <w:jc w:val="start"/>
        <w:tblInd w:w="0" w:type="dxa"/>
        <w:tblLayout w:type="fixed"/>
        <w:tblCellMar>
          <w:top w:w="0" w:type="dxa"/>
          <w:start w:w="108" w:type="dxa"/>
          <w:bottom w:w="0" w:type="dxa"/>
          <w:end w:w="108" w:type="dxa"/>
        </w:tblCellMar>
      </w:tblPr>
      <w:tblGrid>
        <w:gridCol w:w="2160"/>
        <w:gridCol w:w="6480"/>
      </w:tblGrid>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Parties</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Enron North America Corp. (“ENA”), or an affiliate.</w:t>
              <w:br/>
              <w:t>City of Rocky Mount, North Carolina (“City”)</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Proposed Transaction</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It is ENA’s intent to construct and operate an approximately 200 MW, dual-fueled, simple-cycle power generation facility on a site located in Edgecombe County, North Carolina.  City agrees to annex site and serve the plant under a long-term gas supply agreement.</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Site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ENA is currently negotiating with ElectriCities of North Carolina for an option to purchase the specific site in Edgecombe County (the “Site”).  Upon environmental due diligence and ENA’s acceptance of the Site (in ENA’s sole judgment), ENA will buy the Site from ElectriCities and will sell the Site to City for [$1].  City then will enter into a long-term lease with ENA for the Site.</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Economic Incentives</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In consideration for the sale of the Site to City, the Parties will agree to appropriate economic incentives for ENA.</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Annexation</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City agrees to annex the Site into its territory for the purpose of supplying natural gas to the plant.</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Gas Supply Agreement</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The Parties agrees to enter into a long-term gas supply agreement to make available to the plant natural gas during the months of May through September of each year.</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Gas Supply Term</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15 years beginning May 1, 2001</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Gas Supply Quantity</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[16,500 mmBtu/day]</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Gas Supply Price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Parties agree to a demand charge of $0.00/mmBtu and a transport charge based on usage of [$x.xx/mmBtu].</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Rezoning</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City agrees to work with the Edgecombe County officials to change the zoning designation of the Site to [Industrial] for purposes of building and operating the plant.</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Interconnection</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City agrees to grant to ENA an interconnection agreement into City’s electric distribution system.</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Water and Wastewater</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City agrees to supply and ENA agrees to purchase water for use in the plant in the event City’s supply is sufficient.  City agrees to supply and ENA agrees to purchase wastewater treatment services for use in the plant in the event City is able to supply such services.</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Other Conditions</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Additional terms and conditions to be addressed in future discussions.</w:t>
              <w:br/>
            </w:r>
          </w:p>
        </w:tc>
      </w:tr>
    </w:tbl>
    <w:p>
      <w:pPr>
        <w:pStyle w:val="Normal"/>
        <w:rPr>
          <w:sz w:val="22"/>
        </w:rPr>
      </w:pPr>
      <w:r>
        <w:rPr>
          <w:sz w:val="22"/>
        </w:rPr>
      </w:r>
    </w:p>
    <w:p>
      <w:pPr>
        <w:pStyle w:val="BodyText"/>
        <w:rPr>
          <w:sz w:val="22"/>
        </w:rPr>
      </w:pPr>
      <w:r>
        <w:rPr>
          <w:sz w:val="22"/>
        </w:rPr>
        <w:t>THIS TERM SHEET IS THE BASIS FOR CONTINUED DISCUSSIONS AND IS NOT AN OFFER OR A COMMITMENT TO CONSUMMATE THE TRANSACTIONS DESCRIBED, OR AN AGREEMENT TO ANY SPECIFIC TERM.  THIS TERM SHEET DOES NOT CREATE A BINDING AND ENFORCEABLE CONTRACT OR COMMITMENT BETWEEN THE PARTIES.</w:t>
      </w:r>
    </w:p>
    <w:p>
      <w:pPr>
        <w:pStyle w:val="Normal"/>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RockyMountloi2.doc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RockyMountloi2.doc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630" w:leader="none"/>
      </w:tabs>
      <w:jc w:val="end"/>
      <w:rPr>
        <w:sz w:val="22"/>
      </w:rPr>
    </w:pPr>
    <w:r>
      <w:rPr>
        <w:sz w:val="22"/>
      </w:rPr>
      <w:tab/>
      <w:tab/>
    </w:r>
    <w:r>
      <w:rPr>
        <w:b/>
      </w:rPr>
      <w:t>Only</w:t>
    </w:r>
  </w:p>
  <w:p>
    <w:pPr>
      <w:pStyle w:val="Header"/>
      <w:rPr>
        <w:sz w:val="22"/>
      </w:rPr>
    </w:pPr>
    <w:r>
      <w:rPr>
        <w:sz w:val="22"/>
      </w:rPr>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jc w:val="both"/>
      <w:outlineLvl w:val="0"/>
    </w:pPr>
    <w:rPr>
      <w:b/>
      <w:bCs/>
      <w:sz w:val="22"/>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overflowPunct w:val="false"/>
      <w:autoSpaceDE w:val="false"/>
      <w:jc w:val="center"/>
      <w:textAlignment w:val="baseline"/>
    </w:pPr>
    <w:rPr>
      <w:b/>
      <w:sz w:val="32"/>
    </w:rPr>
  </w:style>
  <w:style w:type="paragraph" w:styleId="BodyText">
    <w:name w:val="Body Text"/>
    <w:basedOn w:val="Normal"/>
    <w:pPr>
      <w:overflowPunct w:val="false"/>
      <w:autoSpaceDE w:val="false"/>
      <w:jc w:val="both"/>
      <w:textAlignment w:val="baseline"/>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2000-07-12T14:48:00Z</dcterms:created>
  <dc:creator>ECT</dc:creator>
  <dc:description/>
  <dc:language>en-CA</dc:language>
  <cp:lastModifiedBy>kmann</cp:lastModifiedBy>
  <cp:lastPrinted>2000-07-12T12:49:00Z</cp:lastPrinted>
  <dcterms:modified xsi:type="dcterms:W3CDTF">2000-07-12T15:21:00Z</dcterms:modified>
  <cp:revision>4</cp:revision>
  <dc:subject/>
  <dc:title>[ECT Letterhead]</dc:title>
</cp:coreProperties>
</file>