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June  __, 2000</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of the City of Rocky Mount, North Carolina (“the City”) and Enron North America Corp., a Delaware corporation (“ENA”), to evaluate the possibility of ENA and the City entering into a gas supply contract (“the Transaction”). The City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herein are not intended to and do not constitute a binding agreement of the Parties with respect to the Transaction.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(or other governing authority) of each Party.</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both"/>
        <w:rPr>
          <w:b/>
          <w:sz w:val="22"/>
        </w:rPr>
      </w:pPr>
      <w:r>
        <w:rPr>
          <w:b/>
          <w:sz w:val="22"/>
        </w:rPr>
        <w:t xml:space="preserve"> </w:t>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discuss the Transaction and the necessary agreements relating thereto. ENA may conduct a due diligence investigation regarding the Transaction.  The City will assist ENA in such investigation and the City will disclose to ENA all relevant information in the City's possession pertaining thereto. It is understood that ENA and the City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Although neither Party is obligated hereunder to enter into any definitive agreement with the other with respect to the Transaction, it is currently anticipated that any definitive agreement will include, without limitation, the basic business points identified in Exhibit “A” attached hereto.</w:t>
      </w:r>
    </w:p>
    <w:p>
      <w:pPr>
        <w:pStyle w:val="Normal"/>
        <w:jc w:val="both"/>
        <w:rPr>
          <w:b/>
          <w:sz w:val="22"/>
        </w:rPr>
      </w:pPr>
      <w:r>
        <w:rPr>
          <w:b/>
          <w:sz w:val="22"/>
        </w:rPr>
      </w:r>
    </w:p>
    <w:p>
      <w:pPr>
        <w:pStyle w:val="Normal"/>
        <w:ind w:firstLine="720" w:end="0"/>
        <w:jc w:val="both"/>
        <w:rPr>
          <w:b/>
          <w:sz w:val="22"/>
        </w:rPr>
      </w:pPr>
      <w:r>
        <w:rPr>
          <w:sz w:val="22"/>
        </w:rPr>
        <w:t>3.</w:t>
        <w:tab/>
        <w:t>This Agreement shall remain in force and effect until the earliest to occur of the following events:  (i) a party notifies the other that the Transaction will not be consummated; or (ii) December 1, 2000 (the “Term”).  The provisions of paragraph 5 regarding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sz w:val="22"/>
        </w:rPr>
      </w:pPr>
      <w:r>
        <w:rPr>
          <w:sz w:val="22"/>
        </w:rPr>
        <w:t>4.</w:t>
        <w:tab/>
        <w:t xml:space="preserve">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ind w:firstLine="720" w:end="0"/>
        <w:jc w:val="both"/>
        <w:rPr>
          <w:b/>
          <w:sz w:val="22"/>
        </w:rPr>
      </w:pPr>
      <w:r>
        <w:rPr>
          <w:sz w:val="22"/>
        </w:rPr>
        <w:t xml:space="preserve"> </w:t>
      </w:r>
      <w:r>
        <w:rPr>
          <w:sz w:val="22"/>
        </w:rPr>
        <w:t>5.</w:t>
      </w:r>
      <w:r>
        <w:rPr>
          <w:b/>
          <w:sz w:val="22"/>
        </w:rPr>
        <w:tab/>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Transaction.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pPr>
      <w:r>
        <w:rPr>
          <w:sz w:val="22"/>
        </w:rPr>
        <w:t>6.</w:t>
      </w:r>
      <w:r>
        <w:rPr>
          <w:b/>
          <w:sz w:val="22"/>
        </w:rPr>
        <w:tab/>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7.</w:t>
      </w:r>
      <w:r>
        <w:rPr>
          <w:b/>
          <w:sz w:val="22"/>
        </w:rPr>
        <w:tab/>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8.</w:t>
      </w:r>
      <w:r>
        <w:rPr>
          <w:b/>
          <w:sz w:val="22"/>
        </w:rPr>
        <w:tab/>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There are not third party beneficiaries of this Agreement.</w:t>
      </w:r>
    </w:p>
    <w:p>
      <w:pPr>
        <w:pStyle w:val="Normal"/>
        <w:jc w:val="both"/>
        <w:rPr>
          <w:sz w:val="22"/>
        </w:rPr>
      </w:pPr>
      <w:r>
        <w:rPr>
          <w:sz w:val="22"/>
        </w:rPr>
      </w:r>
    </w:p>
    <w:p>
      <w:pPr>
        <w:pStyle w:val="Normal"/>
        <w:ind w:firstLine="720" w:end="0"/>
        <w:jc w:val="both"/>
        <w:rPr/>
      </w:pPr>
      <w:r>
        <w:rPr>
          <w:sz w:val="22"/>
        </w:rPr>
        <w:t>9.</w:t>
      </w:r>
      <w:r>
        <w:rPr>
          <w:b/>
          <w:sz w:val="22"/>
        </w:rPr>
        <w:tab/>
      </w:r>
      <w:r>
        <w:rPr>
          <w:sz w:val="22"/>
        </w:rPr>
        <w:t>THIS AGREEMENT SHALL BE GOVERNED BY AND CONSTRUED IN ACCORDANCE WITH THE LAWS OF THE STATE OF TEXAS, WITHOUT GIVING EFFECT TO CONFLICT OF LAWS PRINCIPLES.</w:t>
      </w:r>
      <w:r>
        <w:br w:type="page"/>
      </w:r>
    </w:p>
    <w:p>
      <w:pPr>
        <w:pStyle w:val="Normal"/>
        <w:jc w:val="both"/>
        <w:rPr>
          <w:sz w:val="22"/>
        </w:rPr>
      </w:pPr>
      <w:r>
        <w:rPr>
          <w:sz w:val="22"/>
        </w:rPr>
      </w:r>
    </w:p>
    <w:p>
      <w:pPr>
        <w:pStyle w:val="Normal"/>
        <w:ind w:firstLine="720" w:end="0"/>
        <w:jc w:val="both"/>
        <w:rPr/>
      </w:pPr>
      <w:r>
        <w:rPr>
          <w:sz w:val="22"/>
        </w:rPr>
        <w:t>10.</w:t>
      </w:r>
      <w:r>
        <w:rPr>
          <w:b/>
          <w:sz w:val="22"/>
        </w:rPr>
        <w:tab/>
      </w:r>
      <w:r>
        <w:rPr>
          <w:bCs/>
          <w:sz w:val="22"/>
        </w:rPr>
        <w:t>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EXCEPT WITH RESPECT TO THE PROVISIONS OF PARAGRAPH 5; AND (3) MAY NOT BE RELIED UPON BY A PARTY AS THE BASIS FOR A CONTRACT BY ESTOPPEL OR OTHERWISE.  A BINDING COMMITMENT WITH RESPECT TO THE TRANSACTION CAN ONLY RESULT FROM THE EXECUTION AND DELIVERY OF DEFINITIVE AGREEMENTS.  THE PARTIES AGREE THAT NO ACTIONS ON THE PART OF EITHER PARTY SHALL BE DEEMED TO RENDER THIS AGREEMENT A BINDING OBLIGATION.</w:t>
      </w:r>
    </w:p>
    <w:p>
      <w:pPr>
        <w:pStyle w:val="Normal"/>
        <w:jc w:val="both"/>
        <w:rPr>
          <w:bCs/>
          <w:sz w:val="22"/>
        </w:rPr>
      </w:pPr>
      <w:r>
        <w:rPr>
          <w:bCs/>
          <w:sz w:val="22"/>
        </w:rPr>
      </w:r>
    </w:p>
    <w:p>
      <w:pPr>
        <w:pStyle w:val="Normal"/>
        <w:ind w:firstLine="720" w:end="0"/>
        <w:jc w:val="both"/>
        <w:rPr/>
      </w:pPr>
      <w:r>
        <w:rPr>
          <w:sz w:val="22"/>
        </w:rPr>
        <w:t>11.</w:t>
      </w:r>
      <w:r>
        <w:rPr>
          <w:b/>
          <w:sz w:val="22"/>
        </w:rPr>
        <w:tab/>
      </w:r>
      <w:r>
        <w:rPr>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12.</w:t>
      </w:r>
      <w:r>
        <w:rPr>
          <w:b/>
          <w:sz w:val="22"/>
        </w:rPr>
        <w:tab/>
      </w:r>
      <w:r>
        <w:rPr>
          <w:sz w:val="22"/>
        </w:rPr>
        <w:t>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13.</w:t>
        <w:tab/>
      </w:r>
      <w:r>
        <w:rPr>
          <w:b/>
          <w:sz w:val="22"/>
        </w:rPr>
        <w:t>LIMITATION OF LIABILITY.  NOTWITHSTANDING ANYTHING HEREIN TO THE CONTRARY, NEITHER ENA NOR THE CITY, NOR THEIR RESPECTIVE DIRECTORS, OFFICERS, SHAREHOLDERS, MANAGERS, OR EMPLOYEES WILL BE LIABLE TO ANY OTHER PARTY, OR ITS DIRECTORS, OFFICERS, SHAREHOLDERS, MANAGERS OR EMPLOYEES, WHETHER UNDER BREACH OF CONTRACT, BREACH OF WARRANTY, TORT LIABILITY (INCLUDING WITHOUT LIMITATION NEGLIGENCE), STRICT LIABILITY OR OTHERWISE, FOR ANY INCIDENTAL, SPECIAL, INDIRECT, CONSEQUENTIAL, PUNITIVE OR EXEMPLARY DAMAGES WHATSOEVER (INCLUDING WITHOUT LIMITATION LOST PROFITS OR REVENUE) OF ANY NATURE ARISING OUT OF OR RESULTING FROM THE NEGOTIATION OR PERFORMANCE OF THIS AGREEMENT.</w:t>
      </w:r>
      <w:r>
        <w:br w:type="page"/>
      </w:r>
    </w:p>
    <w:p>
      <w:pPr>
        <w:pStyle w:val="Normal"/>
        <w:ind w:firstLine="720" w:end="0"/>
        <w:jc w:val="both"/>
        <w:rPr>
          <w:sz w:val="22"/>
        </w:rPr>
      </w:pPr>
      <w:r>
        <w:rPr>
          <w:sz w:val="22"/>
        </w:rPr>
      </w:r>
    </w:p>
    <w:p>
      <w:pPr>
        <w:pStyle w:val="Normal"/>
        <w:jc w:val="both"/>
        <w:rPr>
          <w:sz w:val="22"/>
        </w:rPr>
      </w:pPr>
      <w:r>
        <w:rPr>
          <w:sz w:val="22"/>
        </w:rPr>
        <w:t>If the provisions of this Agreement correctly set forth our current understanding,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2000:</w:t>
      </w:r>
    </w:p>
    <w:p>
      <w:pPr>
        <w:pStyle w:val="Normal"/>
        <w:keepNext w:val="true"/>
        <w:keepLines/>
        <w:jc w:val="both"/>
        <w:rPr>
          <w:b/>
          <w:sz w:val="22"/>
        </w:rPr>
      </w:pPr>
      <w:r>
        <w:rPr>
          <w:b/>
          <w:sz w:val="22"/>
        </w:rPr>
      </w:r>
    </w:p>
    <w:p>
      <w:pPr>
        <w:pStyle w:val="Heading1"/>
        <w:ind w:hanging="0" w:start="0"/>
        <w:rPr/>
      </w:pPr>
      <w:r>
        <w:rPr/>
        <w:t>CITY OF ROCKY MOUNT</w:t>
      </w:r>
    </w:p>
    <w:p>
      <w:pPr>
        <w:pStyle w:val="Normal"/>
        <w:rPr/>
      </w:pPr>
      <w:r>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
        <w:rPr/>
      </w:pPr>
      <w:r>
        <w:rPr/>
        <w:t>Exhibit A</w:t>
      </w:r>
    </w:p>
    <w:p>
      <w:pPr>
        <w:pStyle w:val="Heading"/>
        <w:rPr/>
      </w:pPr>
      <w:r>
        <w:rPr/>
        <w:t>Gas Supply and Land Lease Term Sheet</w:t>
      </w:r>
    </w:p>
    <w:p>
      <w:pPr>
        <w:pStyle w:val="Normal"/>
        <w:rPr>
          <w:sz w:val="24"/>
        </w:rPr>
      </w:pPr>
      <w:r>
        <w:rPr>
          <w:sz w:val="24"/>
        </w:rPr>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Parties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Enron North America Corp. (“ENA”), or an affiliate.</w:t>
              <w:br/>
              <w:t>City of Rocky Mount, North Carolina (“City”)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Proposed Transaction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It is ENA’s intent to construct and operate an approximately 200 MW, dual-fueled, simple-cycle power generation facility on a site located in Edgecombe County, North Carolina.  City agrees to annex site and serve the plant under a long-term gas supply agreement.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Site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ENA is currently negotiating with ElectriCities of North Carolina for an option to purchase the specific site in Edgecombe County (the “Site”).  Upon environmental due diligence and ENA’s acceptance of the Site (in ENA’s sole judgment), ENA will buy the Site from ElectriCities and will sell the Site to City for [$1].  City then will enter into a long-term lease with ENA for the Site.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Property Tax Abatement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In consideration for the sale of the Site to City, City agrees to negotiate a property tax abatement program for the first [x] years that the plant is commercially operable.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Annexation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City agrees to annex the Site into its territory for the purpose of supplying natural gas to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Gas Supply Agreement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The Parties agrees to enter into a long-term gas supply agreement to make available to the plant natural gas during the months of May through September of each year.</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Gas Supply Term</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15 years beginning May 1, 2001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Gas Supply Quantity</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[16,500 mmBtu/day]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Gas Supply Price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Parties agree to a demand charge of $0.00/mmBtu and a transport charge based on usage of [$x.xx/mmBtu].</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Rezoning</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City agrees to work with the Edgecombe County officials to change the zoning designation of the Site to [Industrial] for purposes of building and operating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Interconnection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City agrees to grant to ENA an interconnection agreement into City’s electric distribution system.</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Water and Wastewater</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City agrees to supply and ENA agrees to purchase water for use in the plant in the event City’s supply is sufficient.  City agrees to supply and ENA agrees to purchase wastewater treatment services for use in the plant in the event City is able to supply such services.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Other Conditions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Additional terms and conditions to be addressed in future discussions.</w:t>
              <w:br/>
            </w:r>
          </w:p>
        </w:tc>
      </w:tr>
    </w:tbl>
    <w:p>
      <w:pPr>
        <w:pStyle w:val="Normal"/>
        <w:rPr>
          <w:sz w:val="24"/>
        </w:rPr>
      </w:pPr>
      <w:r>
        <w:rPr>
          <w:sz w:val="24"/>
        </w:rPr>
      </w:r>
    </w:p>
    <w:p>
      <w:pPr>
        <w:pStyle w:val="BodyText"/>
        <w:rPr/>
      </w:pPr>
      <w:r>
        <w:rPr/>
        <w:t>THIS TERM SHEET IS THE BASIS FOR CONTINUED DISCUSSIONS AND IS NOT AN OFFER OR A COMMITMENT TO CONSUMMATE THE TRANSACTIONS DESCRIBED, OR AN AGREEMENT TO ANY SPECIFIC TERM.  THIS TERM SHEET DOES NOT CREATE A BINDING AND ENFORCEABLE CONTRACT OR COMMITMENT BETWEEN THE PARTIES.</w:t>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RockyMountloi-02f4b8fe05409b57d8b26ddf99f2f2b477b210e33f3852f8709c49a0ab923191.doc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RockyMountloi-02f4b8fe05409b57d8b26ddf99f2f2b477b210e33f3852f8709c49a0ab923191.doc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r>
      <w:rPr>
        <w:b/>
      </w:rPr>
      <w:t>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overflowPunct w:val="false"/>
      <w:autoSpaceDE w:val="false"/>
      <w:jc w:val="center"/>
      <w:textAlignment w:val="baseline"/>
    </w:pPr>
    <w:rPr>
      <w:b/>
      <w:sz w:val="32"/>
    </w:rPr>
  </w:style>
  <w:style w:type="paragraph" w:styleId="BodyText">
    <w:name w:val="Body Text"/>
    <w:basedOn w:val="Normal"/>
    <w:pPr>
      <w:overflowPunct w:val="false"/>
      <w:autoSpaceDE w:val="false"/>
      <w:jc w:val="both"/>
      <w:textAlignment w:val="baselin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2000-06-26T15:09:00Z</dcterms:created>
  <dc:creator>ECT</dc:creator>
  <dc:description/>
  <dc:language>en-CA</dc:language>
  <cp:lastModifiedBy>kmann</cp:lastModifiedBy>
  <cp:lastPrinted>2000-06-26T14:16:00Z</cp:lastPrinted>
  <dcterms:modified xsi:type="dcterms:W3CDTF">2000-06-26T18:54:00Z</dcterms:modified>
  <cp:revision>5</cp:revision>
  <dc:subject/>
  <dc:title>[ECT Letterhead]</dc:title>
</cp:coreProperties>
</file>