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Enron Capital &amp; Trade Resources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aption"/>
        <w:rPr/>
      </w:pPr>
      <w:r>
        <w:rPr/>
        <w:t xml:space="preserve">CONFIRMATION </w:t>
      </w:r>
    </w:p>
    <w:p>
      <w:pPr>
        <w:pStyle w:val="Normal"/>
        <w:jc w:val="center"/>
        <w:rPr>
          <w:b/>
          <w:sz w:val="22"/>
        </w:rPr>
      </w:pPr>
      <w:r>
        <w:rPr>
          <w:b/>
          <w:sz w:val="22"/>
        </w:rPr>
      </w:r>
    </w:p>
    <w:p>
      <w:pPr>
        <w:pStyle w:val="Normal"/>
        <w:rPr>
          <w:b/>
          <w:sz w:val="22"/>
        </w:rPr>
      </w:pPr>
      <w:r>
        <w:rPr>
          <w:b/>
          <w:sz w:val="22"/>
        </w:rPr>
      </w:r>
    </w:p>
    <w:p>
      <w:pPr>
        <w:pStyle w:val="Normal"/>
        <w:ind w:firstLine="720" w:end="0"/>
        <w:rPr>
          <w:sz w:val="22"/>
        </w:rPr>
      </w:pPr>
      <w:r>
        <w:rPr>
          <w:sz w:val="22"/>
        </w:rPr>
        <w:t>Date:</w:t>
        <w:tab/>
        <w:tab/>
        <w:tab/>
        <w:tab/>
        <w:t>June 21, 1999</w:t>
      </w:r>
    </w:p>
    <w:p>
      <w:pPr>
        <w:pStyle w:val="Normal"/>
        <w:rPr>
          <w:sz w:val="22"/>
        </w:rPr>
      </w:pPr>
      <w:r>
        <w:rPr>
          <w:sz w:val="22"/>
        </w:rPr>
      </w:r>
    </w:p>
    <w:p>
      <w:pPr>
        <w:pStyle w:val="Normal"/>
        <w:ind w:firstLine="720" w:end="0"/>
        <w:rPr>
          <w:sz w:val="22"/>
        </w:rPr>
      </w:pPr>
      <w:r>
        <w:rPr>
          <w:sz w:val="22"/>
        </w:rPr>
        <w:t>To:</w:t>
        <w:tab/>
        <w:tab/>
        <w:tab/>
        <w:tab/>
        <w:t>Rock-Tenn Company (“Party B”)</w:t>
      </w:r>
    </w:p>
    <w:p>
      <w:pPr>
        <w:pStyle w:val="Normal"/>
        <w:rPr>
          <w:sz w:val="22"/>
        </w:rPr>
      </w:pPr>
      <w:r>
        <w:rPr>
          <w:sz w:val="22"/>
        </w:rPr>
      </w:r>
    </w:p>
    <w:p>
      <w:pPr>
        <w:pStyle w:val="Normal"/>
        <w:ind w:firstLine="720" w:end="0"/>
        <w:rPr>
          <w:sz w:val="22"/>
        </w:rPr>
      </w:pPr>
      <w:r>
        <w:rPr>
          <w:sz w:val="22"/>
        </w:rPr>
        <w:t>Attention:</w:t>
        <w:tab/>
        <w:tab/>
        <w:tab/>
        <w:t>Mr. David Nicholson</w:t>
      </w:r>
    </w:p>
    <w:p>
      <w:pPr>
        <w:pStyle w:val="Normal"/>
        <w:rPr>
          <w:sz w:val="22"/>
        </w:rPr>
      </w:pPr>
      <w:r>
        <w:rPr>
          <w:sz w:val="22"/>
        </w:rPr>
      </w:r>
    </w:p>
    <w:p>
      <w:pPr>
        <w:pStyle w:val="Normal"/>
        <w:ind w:firstLine="720" w:end="0"/>
        <w:rPr>
          <w:sz w:val="22"/>
        </w:rPr>
      </w:pPr>
      <w:r>
        <w:rPr>
          <w:sz w:val="22"/>
        </w:rPr>
        <w:t>Fax Number:</w:t>
        <w:tab/>
        <w:tab/>
        <w:tab/>
        <w:t>(770) 263-3582</w:t>
      </w:r>
    </w:p>
    <w:p>
      <w:pPr>
        <w:pStyle w:val="Normal"/>
        <w:rPr>
          <w:sz w:val="22"/>
        </w:rPr>
      </w:pPr>
      <w:r>
        <w:rPr>
          <w:sz w:val="22"/>
        </w:rPr>
      </w:r>
    </w:p>
    <w:p>
      <w:pPr>
        <w:pStyle w:val="Normal"/>
        <w:ind w:firstLine="720" w:end="0"/>
        <w:rPr>
          <w:sz w:val="22"/>
        </w:rPr>
      </w:pPr>
      <w:r>
        <w:rPr>
          <w:sz w:val="22"/>
        </w:rPr>
        <w:t>From:</w:t>
        <w:tab/>
        <w:tab/>
        <w:tab/>
        <w:tab/>
        <w:t>Enron Capital and Trade Resources Corp (“Party A”)</w:t>
      </w:r>
    </w:p>
    <w:p>
      <w:pPr>
        <w:pStyle w:val="Normal"/>
        <w:rPr>
          <w:sz w:val="22"/>
        </w:rPr>
      </w:pPr>
      <w:r>
        <w:rPr>
          <w:sz w:val="22"/>
        </w:rPr>
      </w:r>
    </w:p>
    <w:p>
      <w:pPr>
        <w:pStyle w:val="Normal"/>
        <w:ind w:firstLine="720" w:end="0"/>
        <w:rPr>
          <w:sz w:val="22"/>
        </w:rPr>
      </w:pPr>
      <w:r>
        <w:rPr>
          <w:sz w:val="22"/>
        </w:rPr>
        <w:t>Re:</w:t>
        <w:tab/>
        <w:tab/>
        <w:tab/>
        <w:tab/>
        <w:t xml:space="preserve">Commodity Swaption, ECT Deal No.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750" w:leader="none"/>
          <w:tab w:val="left" w:pos="7200" w:leader="none"/>
          <w:tab w:val="left" w:pos="7920" w:leader="none"/>
          <w:tab w:val="left" w:pos="8640" w:leader="none"/>
        </w:tabs>
        <w:jc w:val="both"/>
        <w:rPr>
          <w:sz w:val="22"/>
        </w:rPr>
      </w:pPr>
      <w:r>
        <w:rPr>
          <w:sz w:val="22"/>
        </w:rPr>
      </w:r>
    </w:p>
    <w:p>
      <w:pPr>
        <w:pStyle w:val="BodyTextIndent"/>
        <w:tabs>
          <w:tab w:val="clear" w:pos="90"/>
          <w:tab w:val="left" w:pos="720" w:leader="none"/>
          <w:tab w:val="left" w:pos="2160" w:leader="none"/>
          <w:tab w:val="left" w:pos="6480" w:leader="none"/>
        </w:tabs>
        <w:ind w:start="0" w:end="0"/>
        <w:rPr>
          <w:sz w:val="22"/>
        </w:rPr>
      </w:pPr>
      <w:r>
        <w:rPr>
          <w:sz w:val="22"/>
        </w:rPr>
        <w:tab/>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ind w:firstLine="720" w:end="0"/>
        <w:jc w:val="both"/>
        <w:rPr>
          <w:sz w:val="22"/>
        </w:rPr>
      </w:pPr>
      <w:r>
        <w:rPr>
          <w:sz w:val="22"/>
        </w:rPr>
      </w:r>
    </w:p>
    <w:p>
      <w:pPr>
        <w:pStyle w:val="BodyTextIndent2"/>
        <w:rPr/>
      </w:pPr>
      <w:r>
        <w:rPr/>
        <w:t>1. This Confirmation supplements, forms part of, and is subject to the ISDA Master Agreement dated as of November 17, 1997, as amended and supplemented from time to time (the “Agreement”), between you and us.  All provisions contained in the Agreement govern this Confirmation except as expressly modified below.</w:t>
      </w:r>
    </w:p>
    <w:p>
      <w:pPr>
        <w:pStyle w:val="Normal"/>
        <w:ind w:start="720" w:end="0"/>
        <w:jc w:val="both"/>
        <w:rPr>
          <w:sz w:val="22"/>
        </w:rPr>
      </w:pPr>
      <w:r>
        <w:rPr>
          <w:sz w:val="22"/>
        </w:rPr>
      </w:r>
    </w:p>
    <w:p>
      <w:pPr>
        <w:pStyle w:val="BodyTextIndent3"/>
        <w:rPr>
          <w:b w:val="false"/>
        </w:rPr>
      </w:pPr>
      <w:r>
        <w:rPr>
          <w:b w:val="false"/>
        </w:rPr>
        <w:t>2. For and in consideration of $1.00 and other good and valuable consideration, the receipt and sufficiency of which are hereby acknowledged, the parties agree that the terms of the particular Transaction to which the Confirmation relates are as follows:</w:t>
      </w:r>
    </w:p>
    <w:p>
      <w:pPr>
        <w:pStyle w:val="Normal"/>
        <w:rPr>
          <w:b/>
          <w:sz w:val="22"/>
        </w:rPr>
      </w:pPr>
      <w:r>
        <w:rPr>
          <w:b/>
          <w:sz w:val="22"/>
        </w:rPr>
      </w:r>
    </w:p>
    <w:p>
      <w:pPr>
        <w:pStyle w:val="Normal"/>
        <w:rPr/>
      </w:pPr>
      <w:r>
        <w:rPr>
          <w:b/>
          <w:sz w:val="22"/>
          <w:u w:val="single"/>
        </w:rPr>
        <w:t>General Terms for Swaption</w:t>
      </w:r>
      <w:r>
        <w:rPr>
          <w:sz w:val="22"/>
        </w:rPr>
        <w:t>:</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ind w:start="630" w:end="0"/>
              <w:jc w:val="both"/>
              <w:rPr>
                <w:sz w:val="22"/>
              </w:rPr>
            </w:pPr>
            <w:r>
              <w:rPr>
                <w:sz w:val="22"/>
              </w:rPr>
              <w:t>Trade Date:</w:t>
            </w:r>
          </w:p>
        </w:tc>
        <w:tc>
          <w:tcPr>
            <w:tcW w:w="5238" w:type="dxa"/>
            <w:tcBorders/>
          </w:tcPr>
          <w:p>
            <w:pPr>
              <w:pStyle w:val="Heading1"/>
              <w:ind w:hanging="0" w:start="0"/>
              <w:rPr>
                <w:b w:val="false"/>
                <w:u w:val="none"/>
              </w:rPr>
            </w:pPr>
            <w:r>
              <w:rPr>
                <w:b w:val="false"/>
                <w:u w:val="none"/>
              </w:rPr>
              <w:t>June 21, 1999</w:t>
            </w:r>
          </w:p>
        </w:tc>
      </w:tr>
      <w:tr>
        <w:trPr/>
        <w:tc>
          <w:tcPr>
            <w:tcW w:w="4338" w:type="dxa"/>
            <w:tcBorders/>
          </w:tcPr>
          <w:p>
            <w:pPr>
              <w:pStyle w:val="Normal"/>
              <w:snapToGrid w:val="false"/>
              <w:ind w:start="630" w:end="0"/>
              <w:jc w:val="both"/>
              <w:rPr>
                <w:b w:val="false"/>
                <w:sz w:val="22"/>
                <w:u w:val="none"/>
              </w:rPr>
            </w:pPr>
            <w:r>
              <w:rPr>
                <w:b w:val="false"/>
                <w:sz w:val="22"/>
                <w:u w:val="none"/>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630" w:end="0"/>
              <w:jc w:val="both"/>
              <w:rPr>
                <w:sz w:val="22"/>
              </w:rPr>
            </w:pPr>
            <w:r>
              <w:rPr>
                <w:sz w:val="22"/>
              </w:rPr>
              <w:t>Option Style:</w:t>
            </w:r>
          </w:p>
        </w:tc>
        <w:tc>
          <w:tcPr>
            <w:tcW w:w="5238" w:type="dxa"/>
            <w:tcBorders/>
          </w:tcPr>
          <w:p>
            <w:pPr>
              <w:pStyle w:val="Normal"/>
              <w:jc w:val="both"/>
              <w:rPr>
                <w:sz w:val="22"/>
              </w:rPr>
            </w:pPr>
            <w:r>
              <w:rPr>
                <w:sz w:val="22"/>
              </w:rPr>
              <w:t>American</w:t>
            </w:r>
          </w:p>
        </w:tc>
      </w:tr>
      <w:tr>
        <w:trPr/>
        <w:tc>
          <w:tcPr>
            <w:tcW w:w="4338" w:type="dxa"/>
            <w:tcBorders/>
          </w:tcPr>
          <w:p>
            <w:pPr>
              <w:pStyle w:val="Normal"/>
              <w:snapToGrid w:val="false"/>
              <w:ind w:start="63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630" w:end="0"/>
              <w:jc w:val="both"/>
              <w:rPr>
                <w:sz w:val="22"/>
              </w:rPr>
            </w:pPr>
            <w:r>
              <w:rPr>
                <w:sz w:val="22"/>
              </w:rPr>
              <w:t>Option Type:</w:t>
            </w:r>
          </w:p>
        </w:tc>
        <w:tc>
          <w:tcPr>
            <w:tcW w:w="5238" w:type="dxa"/>
            <w:tcBorders/>
          </w:tcPr>
          <w:p>
            <w:pPr>
              <w:pStyle w:val="Normal"/>
              <w:jc w:val="both"/>
              <w:rPr>
                <w:sz w:val="22"/>
              </w:rPr>
            </w:pPr>
            <w:r>
              <w:rPr>
                <w:sz w:val="22"/>
              </w:rPr>
              <w:t>Call Swaption</w:t>
            </w:r>
          </w:p>
        </w:tc>
      </w:tr>
      <w:tr>
        <w:trPr/>
        <w:tc>
          <w:tcPr>
            <w:tcW w:w="4338" w:type="dxa"/>
            <w:tcBorders/>
          </w:tcPr>
          <w:p>
            <w:pPr>
              <w:pStyle w:val="Normal"/>
              <w:snapToGrid w:val="false"/>
              <w:ind w:start="63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630" w:end="0"/>
              <w:jc w:val="both"/>
              <w:rPr>
                <w:sz w:val="22"/>
              </w:rPr>
            </w:pPr>
            <w:r>
              <w:rPr>
                <w:sz w:val="22"/>
              </w:rPr>
              <w:t>Seller:</w:t>
            </w:r>
          </w:p>
        </w:tc>
        <w:tc>
          <w:tcPr>
            <w:tcW w:w="5238" w:type="dxa"/>
            <w:tcBorders/>
          </w:tcPr>
          <w:p>
            <w:pPr>
              <w:pStyle w:val="Normal"/>
              <w:jc w:val="both"/>
              <w:rPr>
                <w:sz w:val="22"/>
              </w:rPr>
            </w:pPr>
            <w:r>
              <w:rPr>
                <w:sz w:val="22"/>
              </w:rPr>
              <w:t>Party B</w:t>
            </w:r>
          </w:p>
        </w:tc>
      </w:tr>
      <w:tr>
        <w:trPr/>
        <w:tc>
          <w:tcPr>
            <w:tcW w:w="4338" w:type="dxa"/>
            <w:tcBorders/>
          </w:tcPr>
          <w:p>
            <w:pPr>
              <w:pStyle w:val="Normal"/>
              <w:snapToGrid w:val="false"/>
              <w:ind w:start="63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630" w:end="0"/>
              <w:jc w:val="both"/>
              <w:rPr>
                <w:sz w:val="22"/>
              </w:rPr>
            </w:pPr>
            <w:r>
              <w:rPr>
                <w:sz w:val="22"/>
              </w:rPr>
              <w:t>Buyer:</w:t>
            </w:r>
          </w:p>
        </w:tc>
        <w:tc>
          <w:tcPr>
            <w:tcW w:w="5238" w:type="dxa"/>
            <w:tcBorders/>
          </w:tcPr>
          <w:p>
            <w:pPr>
              <w:pStyle w:val="Normal"/>
              <w:jc w:val="both"/>
              <w:rPr>
                <w:sz w:val="22"/>
              </w:rPr>
            </w:pPr>
            <w:r>
              <w:rPr>
                <w:sz w:val="22"/>
              </w:rPr>
              <w:t>Party A</w:t>
            </w:r>
          </w:p>
        </w:tc>
      </w:tr>
      <w:tr>
        <w:trPr/>
        <w:tc>
          <w:tcPr>
            <w:tcW w:w="4338" w:type="dxa"/>
            <w:tcBorders/>
          </w:tcPr>
          <w:p>
            <w:pPr>
              <w:pStyle w:val="Normal"/>
              <w:snapToGrid w:val="false"/>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firstLine="630" w:end="0"/>
              <w:jc w:val="both"/>
              <w:rPr>
                <w:sz w:val="22"/>
              </w:rPr>
            </w:pPr>
            <w:r>
              <w:rPr>
                <w:sz w:val="22"/>
              </w:rPr>
              <w:t>Contract Settlement:</w:t>
            </w:r>
          </w:p>
        </w:tc>
        <w:tc>
          <w:tcPr>
            <w:tcW w:w="5238" w:type="dxa"/>
            <w:tcBorders/>
          </w:tcPr>
          <w:p>
            <w:pPr>
              <w:pStyle w:val="Normal"/>
              <w:jc w:val="both"/>
              <w:rPr>
                <w:sz w:val="22"/>
              </w:rPr>
            </w:pPr>
            <w:r>
              <w:rPr>
                <w:sz w:val="22"/>
              </w:rPr>
              <w:t>Applicable</w:t>
            </w:r>
          </w:p>
        </w:tc>
      </w:tr>
    </w:tbl>
    <w:p>
      <w:pPr>
        <w:pStyle w:val="Normal"/>
        <w:rPr>
          <w:sz w:val="22"/>
        </w:rPr>
      </w:pPr>
      <w:r>
        <w:rPr>
          <w:sz w:val="22"/>
        </w:rPr>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snapToGrid w:val="false"/>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jc w:val="both"/>
              <w:rPr>
                <w:b/>
                <w:sz w:val="22"/>
              </w:rPr>
            </w:pPr>
            <w:r>
              <w:rPr>
                <w:b/>
                <w:sz w:val="22"/>
              </w:rPr>
              <w:t>Procedures for Exercise:</w:t>
            </w:r>
          </w:p>
        </w:tc>
        <w:tc>
          <w:tcPr>
            <w:tcW w:w="5238" w:type="dxa"/>
            <w:tcBorders/>
          </w:tcPr>
          <w:p>
            <w:pPr>
              <w:pStyle w:val="Normal"/>
              <w:snapToGrid w:val="false"/>
              <w:jc w:val="both"/>
              <w:rPr>
                <w:b/>
                <w:sz w:val="22"/>
              </w:rPr>
            </w:pPr>
            <w:r>
              <w:rPr>
                <w:b/>
                <w:sz w:val="22"/>
              </w:rPr>
            </w:r>
          </w:p>
        </w:tc>
      </w:tr>
      <w:tr>
        <w:trPr/>
        <w:tc>
          <w:tcPr>
            <w:tcW w:w="4338" w:type="dxa"/>
            <w:tcBorders/>
          </w:tcPr>
          <w:p>
            <w:pPr>
              <w:pStyle w:val="Normal"/>
              <w:snapToGrid w:val="false"/>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Exercise Period:</w:t>
            </w:r>
          </w:p>
        </w:tc>
        <w:tc>
          <w:tcPr>
            <w:tcW w:w="5238" w:type="dxa"/>
            <w:tcBorders/>
          </w:tcPr>
          <w:p>
            <w:pPr>
              <w:pStyle w:val="Normal"/>
              <w:jc w:val="both"/>
              <w:rPr>
                <w:sz w:val="22"/>
              </w:rPr>
            </w:pPr>
            <w:r>
              <w:rPr>
                <w:sz w:val="22"/>
              </w:rPr>
              <w:t>Buyer may notify Seller (including, without limitation, telephonically) on any Business Day from and including the Trade Date to and including July 21, 1999 between 8:00 a.m. (CST) and 5:00 p.m. (CST) of its election to enter into either Underlying Transaction I or Underlying Transaction II (but not both), and such notice shall be irrevocable.</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b/>
                <w:sz w:val="22"/>
              </w:rPr>
            </w:pPr>
            <w:r>
              <w:rPr>
                <w:b/>
                <w:sz w:val="22"/>
              </w:rPr>
            </w:r>
          </w:p>
        </w:tc>
      </w:tr>
      <w:tr>
        <w:trPr/>
        <w:tc>
          <w:tcPr>
            <w:tcW w:w="4338" w:type="dxa"/>
            <w:tcBorders/>
          </w:tcPr>
          <w:p>
            <w:pPr>
              <w:pStyle w:val="Normal"/>
              <w:ind w:start="720" w:end="0"/>
              <w:jc w:val="both"/>
              <w:rPr>
                <w:sz w:val="22"/>
              </w:rPr>
            </w:pPr>
            <w:r>
              <w:rPr>
                <w:sz w:val="22"/>
              </w:rPr>
              <w:t>Automatic Exercise:</w:t>
            </w:r>
          </w:p>
        </w:tc>
        <w:tc>
          <w:tcPr>
            <w:tcW w:w="5238" w:type="dxa"/>
            <w:tcBorders/>
          </w:tcPr>
          <w:p>
            <w:pPr>
              <w:pStyle w:val="Normal"/>
              <w:jc w:val="both"/>
              <w:rPr>
                <w:sz w:val="22"/>
              </w:rPr>
            </w:pPr>
            <w:r>
              <w:rPr>
                <w:sz w:val="22"/>
              </w:rPr>
              <w:t>Inapplicable</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 xml:space="preserve">Written Confirmation </w:t>
            </w:r>
          </w:p>
          <w:p>
            <w:pPr>
              <w:pStyle w:val="Normal"/>
              <w:ind w:start="720" w:end="0"/>
              <w:jc w:val="both"/>
              <w:rPr>
                <w:sz w:val="22"/>
              </w:rPr>
            </w:pPr>
            <w:r>
              <w:rPr>
                <w:sz w:val="22"/>
              </w:rPr>
              <w:t>of Notice of Exercise:</w:t>
            </w:r>
          </w:p>
        </w:tc>
        <w:tc>
          <w:tcPr>
            <w:tcW w:w="5238" w:type="dxa"/>
            <w:tcBorders/>
          </w:tcPr>
          <w:p>
            <w:pPr>
              <w:pStyle w:val="Normal"/>
              <w:snapToGrid w:val="false"/>
              <w:jc w:val="both"/>
              <w:rPr>
                <w:sz w:val="22"/>
              </w:rPr>
            </w:pPr>
            <w:r>
              <w:rPr>
                <w:sz w:val="22"/>
              </w:rPr>
            </w:r>
          </w:p>
          <w:p>
            <w:pPr>
              <w:pStyle w:val="Normal"/>
              <w:jc w:val="both"/>
              <w:rPr>
                <w:sz w:val="22"/>
              </w:rPr>
            </w:pPr>
            <w:r>
              <w:rPr>
                <w:sz w:val="22"/>
              </w:rPr>
              <w:t>Applicable</w:t>
            </w:r>
          </w:p>
        </w:tc>
      </w:tr>
      <w:tr>
        <w:trPr/>
        <w:tc>
          <w:tcPr>
            <w:tcW w:w="4338" w:type="dxa"/>
            <w:tcBorders/>
          </w:tcPr>
          <w:p>
            <w:pPr>
              <w:pStyle w:val="Normal"/>
              <w:snapToGrid w:val="false"/>
              <w:jc w:val="both"/>
              <w:rPr>
                <w:sz w:val="22"/>
              </w:rPr>
            </w:pPr>
            <w:r>
              <w:rPr>
                <w:sz w:val="22"/>
              </w:rPr>
            </w:r>
          </w:p>
        </w:tc>
        <w:tc>
          <w:tcPr>
            <w:tcW w:w="5238" w:type="dxa"/>
            <w:tcBorders/>
          </w:tcPr>
          <w:p>
            <w:pPr>
              <w:pStyle w:val="Normal"/>
              <w:snapToGrid w:val="false"/>
              <w:jc w:val="both"/>
              <w:rPr>
                <w:sz w:val="22"/>
              </w:rPr>
            </w:pPr>
            <w:r>
              <w:rPr>
                <w:sz w:val="22"/>
              </w:rPr>
            </w:r>
          </w:p>
        </w:tc>
      </w:tr>
    </w:tbl>
    <w:p>
      <w:pPr>
        <w:pStyle w:val="Normal"/>
        <w:tabs>
          <w:tab w:val="clear" w:pos="720"/>
          <w:tab w:val="left" w:pos="4338" w:leader="none"/>
          <w:tab w:val="left" w:pos="9576" w:leader="none"/>
        </w:tabs>
        <w:rPr/>
      </w:pPr>
      <w:r>
        <w:rPr/>
        <w:t>The terms of the Underlying Transaction I to which the Swaption relates are as follows:</w:t>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snapToGrid w:val="false"/>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Total Notional Quantity:</w:t>
            </w:r>
          </w:p>
        </w:tc>
        <w:tc>
          <w:tcPr>
            <w:tcW w:w="5238" w:type="dxa"/>
            <w:tcBorders/>
          </w:tcPr>
          <w:p>
            <w:pPr>
              <w:pStyle w:val="Normal"/>
              <w:jc w:val="both"/>
              <w:rPr>
                <w:sz w:val="22"/>
              </w:rPr>
            </w:pPr>
            <w:r>
              <w:rPr>
                <w:sz w:val="22"/>
              </w:rPr>
              <w:t>72,000 Short Tons</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 xml:space="preserve">Notional Quantity per </w:t>
            </w:r>
          </w:p>
          <w:p>
            <w:pPr>
              <w:pStyle w:val="Normal"/>
              <w:ind w:start="720" w:end="0"/>
              <w:jc w:val="both"/>
              <w:rPr>
                <w:sz w:val="22"/>
              </w:rPr>
            </w:pPr>
            <w:r>
              <w:rPr>
                <w:sz w:val="22"/>
              </w:rPr>
              <w:t>Calculation Period:</w:t>
            </w:r>
          </w:p>
        </w:tc>
        <w:tc>
          <w:tcPr>
            <w:tcW w:w="5238" w:type="dxa"/>
            <w:tcBorders/>
          </w:tcPr>
          <w:p>
            <w:pPr>
              <w:pStyle w:val="Normal"/>
              <w:snapToGrid w:val="false"/>
              <w:jc w:val="both"/>
              <w:rPr>
                <w:sz w:val="22"/>
              </w:rPr>
            </w:pPr>
            <w:r>
              <w:rPr>
                <w:sz w:val="22"/>
              </w:rPr>
            </w:r>
          </w:p>
          <w:p>
            <w:pPr>
              <w:pStyle w:val="Normal"/>
              <w:jc w:val="both"/>
              <w:rPr>
                <w:sz w:val="22"/>
              </w:rPr>
            </w:pPr>
            <w:r>
              <w:rPr>
                <w:sz w:val="22"/>
              </w:rPr>
              <w:t>2,000 Short Tons</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Commodity:</w:t>
            </w:r>
          </w:p>
        </w:tc>
        <w:tc>
          <w:tcPr>
            <w:tcW w:w="5238" w:type="dxa"/>
            <w:tcBorders/>
          </w:tcPr>
          <w:p>
            <w:pPr>
              <w:pStyle w:val="Normal"/>
              <w:jc w:val="both"/>
              <w:rPr>
                <w:sz w:val="22"/>
              </w:rPr>
            </w:pPr>
            <w:r>
              <w:rPr>
                <w:sz w:val="22"/>
              </w:rPr>
              <w:t>26 Lb. Semichemical Medium</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Commodity Unit:</w:t>
            </w:r>
          </w:p>
        </w:tc>
        <w:tc>
          <w:tcPr>
            <w:tcW w:w="5238" w:type="dxa"/>
            <w:tcBorders/>
          </w:tcPr>
          <w:p>
            <w:pPr>
              <w:pStyle w:val="Normal"/>
              <w:jc w:val="both"/>
              <w:rPr>
                <w:sz w:val="22"/>
              </w:rPr>
            </w:pPr>
            <w:r>
              <w:rPr>
                <w:sz w:val="22"/>
              </w:rPr>
              <w:t>Short Tons</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Trade Date:</w:t>
            </w:r>
          </w:p>
        </w:tc>
        <w:tc>
          <w:tcPr>
            <w:tcW w:w="5238" w:type="dxa"/>
            <w:tcBorders/>
          </w:tcPr>
          <w:p>
            <w:pPr>
              <w:pStyle w:val="Normal"/>
              <w:jc w:val="both"/>
              <w:rPr>
                <w:sz w:val="22"/>
              </w:rPr>
            </w:pPr>
            <w:r>
              <w:rPr>
                <w:sz w:val="22"/>
              </w:rPr>
              <w:t>June 21, 1999</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Effective Date:</w:t>
            </w:r>
          </w:p>
        </w:tc>
        <w:tc>
          <w:tcPr>
            <w:tcW w:w="5238" w:type="dxa"/>
            <w:tcBorders/>
          </w:tcPr>
          <w:p>
            <w:pPr>
              <w:pStyle w:val="Normal"/>
              <w:jc w:val="both"/>
              <w:rPr>
                <w:sz w:val="22"/>
              </w:rPr>
            </w:pPr>
            <w:r>
              <w:rPr>
                <w:sz w:val="22"/>
              </w:rPr>
              <w:t>August 1, 1999</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i/>
                <w:i/>
                <w:sz w:val="22"/>
              </w:rPr>
            </w:pPr>
            <w:r>
              <w:rPr>
                <w:i/>
                <w:sz w:val="22"/>
              </w:rPr>
            </w:r>
          </w:p>
        </w:tc>
      </w:tr>
      <w:tr>
        <w:trPr/>
        <w:tc>
          <w:tcPr>
            <w:tcW w:w="4338" w:type="dxa"/>
            <w:tcBorders/>
          </w:tcPr>
          <w:p>
            <w:pPr>
              <w:pStyle w:val="Normal"/>
              <w:ind w:start="720" w:end="0"/>
              <w:jc w:val="both"/>
              <w:rPr>
                <w:sz w:val="22"/>
              </w:rPr>
            </w:pPr>
            <w:r>
              <w:rPr>
                <w:sz w:val="22"/>
              </w:rPr>
              <w:t>Termination Date:</w:t>
            </w:r>
          </w:p>
        </w:tc>
        <w:tc>
          <w:tcPr>
            <w:tcW w:w="5238" w:type="dxa"/>
            <w:tcBorders/>
          </w:tcPr>
          <w:p>
            <w:pPr>
              <w:pStyle w:val="Normal"/>
              <w:jc w:val="both"/>
              <w:rPr>
                <w:sz w:val="22"/>
              </w:rPr>
            </w:pPr>
            <w:r>
              <w:rPr>
                <w:sz w:val="22"/>
              </w:rPr>
              <w:t>July 31, 2002</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Calculation Period(s):</w:t>
            </w:r>
          </w:p>
        </w:tc>
        <w:tc>
          <w:tcPr>
            <w:tcW w:w="5238" w:type="dxa"/>
            <w:tcBorders/>
          </w:tcPr>
          <w:p>
            <w:pPr>
              <w:pStyle w:val="Normal"/>
              <w:ind w:start="-18" w:end="0"/>
              <w:jc w:val="both"/>
              <w:rPr>
                <w:sz w:val="22"/>
              </w:rPr>
            </w:pPr>
            <w:r>
              <w:rPr>
                <w:sz w:val="22"/>
              </w:rPr>
              <w:t>Monthly periods, with the first Calculation Period commencing on August 1, 1999, and the final Calculation Period ending on the July 31, 2002</w:t>
            </w:r>
          </w:p>
        </w:tc>
      </w:tr>
      <w:tr>
        <w:trPr/>
        <w:tc>
          <w:tcPr>
            <w:tcW w:w="4338" w:type="dxa"/>
            <w:tcBorders/>
          </w:tcPr>
          <w:p>
            <w:pPr>
              <w:pStyle w:val="Normal"/>
              <w:snapToGrid w:val="false"/>
              <w:ind w:start="720" w:end="0"/>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Payment Date(s):</w:t>
            </w:r>
          </w:p>
        </w:tc>
        <w:tc>
          <w:tcPr>
            <w:tcW w:w="5238" w:type="dxa"/>
            <w:tcBorders/>
          </w:tcPr>
          <w:p>
            <w:pPr>
              <w:pStyle w:val="Normal"/>
              <w:jc w:val="both"/>
              <w:rPr/>
            </w:pPr>
            <w:r>
              <w:rPr>
                <w:sz w:val="22"/>
              </w:rPr>
              <w:t>The fifth (5</w:t>
            </w:r>
            <w:r>
              <w:rPr>
                <w:sz w:val="22"/>
                <w:vertAlign w:val="superscript"/>
              </w:rPr>
              <w:t>th</w:t>
            </w:r>
            <w:r>
              <w:rPr>
                <w:sz w:val="22"/>
              </w:rPr>
              <w:t>) Business Day following the Pricing Date for the applicable Calculation Period.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jc w:val="both"/>
              <w:rPr>
                <w:b/>
                <w:sz w:val="22"/>
                <w:u w:val="single"/>
              </w:rPr>
            </w:pPr>
            <w:r>
              <w:rPr>
                <w:b/>
                <w:sz w:val="22"/>
                <w:u w:val="single"/>
              </w:rPr>
              <w:t>Fixed Amount Details:</w:t>
            </w:r>
          </w:p>
        </w:tc>
        <w:tc>
          <w:tcPr>
            <w:tcW w:w="5238" w:type="dxa"/>
            <w:tcBorders/>
          </w:tcPr>
          <w:p>
            <w:pPr>
              <w:pStyle w:val="Normal"/>
              <w:snapToGrid w:val="false"/>
              <w:jc w:val="both"/>
              <w:rPr>
                <w:b/>
                <w:sz w:val="22"/>
                <w:u w:val="single"/>
              </w:rPr>
            </w:pPr>
            <w:r>
              <w:rPr>
                <w:b/>
                <w:sz w:val="22"/>
                <w:u w:val="single"/>
              </w:rPr>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Fixed Price Payer:</w:t>
            </w:r>
          </w:p>
        </w:tc>
        <w:tc>
          <w:tcPr>
            <w:tcW w:w="5238" w:type="dxa"/>
            <w:tcBorders/>
          </w:tcPr>
          <w:p>
            <w:pPr>
              <w:pStyle w:val="Normal"/>
              <w:jc w:val="both"/>
              <w:rPr>
                <w:sz w:val="22"/>
              </w:rPr>
            </w:pPr>
            <w:r>
              <w:rPr>
                <w:sz w:val="22"/>
              </w:rPr>
              <w:t>Party A</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Fixed Price:</w:t>
            </w:r>
          </w:p>
        </w:tc>
        <w:tc>
          <w:tcPr>
            <w:tcW w:w="5238" w:type="dxa"/>
            <w:tcBorders/>
          </w:tcPr>
          <w:p>
            <w:pPr>
              <w:pStyle w:val="Normal"/>
              <w:jc w:val="both"/>
              <w:rPr>
                <w:sz w:val="22"/>
              </w:rPr>
            </w:pPr>
            <w:r>
              <w:rPr>
                <w:sz w:val="22"/>
              </w:rPr>
              <w:t>U.S. $385.00 per Short Ton</w:t>
            </w:r>
          </w:p>
        </w:tc>
      </w:tr>
    </w:tbl>
    <w:p>
      <w:pPr>
        <w:pStyle w:val="Normal"/>
        <w:rPr>
          <w:sz w:val="22"/>
        </w:rPr>
      </w:pPr>
      <w:r>
        <w:br w:type="page"/>
      </w:r>
      <w:r>
        <w:rPr>
          <w:sz w:val="22"/>
        </w:rPr>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jc w:val="both"/>
              <w:rPr>
                <w:b/>
                <w:sz w:val="22"/>
                <w:u w:val="single"/>
              </w:rPr>
            </w:pPr>
            <w:r>
              <w:rPr>
                <w:b/>
                <w:sz w:val="22"/>
                <w:u w:val="single"/>
              </w:rPr>
              <w:t>Floating Amount Details:</w:t>
            </w:r>
          </w:p>
        </w:tc>
        <w:tc>
          <w:tcPr>
            <w:tcW w:w="5238" w:type="dxa"/>
            <w:tcBorders/>
          </w:tcPr>
          <w:p>
            <w:pPr>
              <w:pStyle w:val="Normal"/>
              <w:snapToGrid w:val="false"/>
              <w:jc w:val="both"/>
              <w:rPr>
                <w:b/>
                <w:sz w:val="22"/>
                <w:u w:val="single"/>
              </w:rPr>
            </w:pPr>
            <w:r>
              <w:rPr>
                <w:b/>
                <w:sz w:val="22"/>
                <w:u w:val="single"/>
              </w:rPr>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Floating Price Payer:</w:t>
            </w:r>
          </w:p>
        </w:tc>
        <w:tc>
          <w:tcPr>
            <w:tcW w:w="5238" w:type="dxa"/>
            <w:tcBorders/>
          </w:tcPr>
          <w:p>
            <w:pPr>
              <w:pStyle w:val="Normal"/>
              <w:jc w:val="both"/>
              <w:rPr>
                <w:sz w:val="22"/>
              </w:rPr>
            </w:pPr>
            <w:r>
              <w:rPr>
                <w:sz w:val="22"/>
              </w:rPr>
              <w:t>Party B</w:t>
            </w:r>
          </w:p>
        </w:tc>
      </w:tr>
      <w:tr>
        <w:trPr/>
        <w:tc>
          <w:tcPr>
            <w:tcW w:w="4338" w:type="dxa"/>
            <w:tcBorders/>
          </w:tcPr>
          <w:p>
            <w:pPr>
              <w:pStyle w:val="Normal"/>
              <w:snapToGrid w:val="false"/>
              <w:ind w:start="720" w:end="0"/>
              <w:rPr>
                <w:sz w:val="22"/>
              </w:rPr>
            </w:pPr>
            <w:r>
              <w:rPr>
                <w:sz w:val="22"/>
              </w:rPr>
            </w:r>
          </w:p>
        </w:tc>
        <w:tc>
          <w:tcPr>
            <w:tcW w:w="5238" w:type="dxa"/>
            <w:tcBorders/>
          </w:tcPr>
          <w:p>
            <w:pPr>
              <w:pStyle w:val="Normal"/>
              <w:snapToGrid w:val="false"/>
              <w:rPr>
                <w:sz w:val="22"/>
              </w:rPr>
            </w:pPr>
            <w:r>
              <w:rPr>
                <w:sz w:val="22"/>
              </w:rPr>
            </w:r>
          </w:p>
        </w:tc>
      </w:tr>
      <w:tr>
        <w:trPr/>
        <w:tc>
          <w:tcPr>
            <w:tcW w:w="4338" w:type="dxa"/>
            <w:tcBorders/>
          </w:tcPr>
          <w:p>
            <w:pPr>
              <w:pStyle w:val="Normal"/>
              <w:ind w:start="720" w:end="0"/>
              <w:jc w:val="both"/>
              <w:rPr>
                <w:sz w:val="22"/>
              </w:rPr>
            </w:pPr>
            <w:r>
              <w:rPr>
                <w:sz w:val="22"/>
              </w:rPr>
              <w:t>Floating Price:</w:t>
            </w:r>
          </w:p>
        </w:tc>
        <w:tc>
          <w:tcPr>
            <w:tcW w:w="5238" w:type="dxa"/>
            <w:tcBorders/>
          </w:tcPr>
          <w:p>
            <w:pPr>
              <w:pStyle w:val="Normal"/>
              <w:jc w:val="both"/>
              <w:rPr/>
            </w:pPr>
            <w:r>
              <w:rPr>
                <w:sz w:val="22"/>
              </w:rPr>
              <w:t xml:space="preserve">The Floating Price for each Calculation Period shall be an amount equal to the arithmetic average of the high and low prices per Short Ton of 26 Lb. Semichemical Medium, stated in U.S. Dollars, delivered in the Eastern U.S., published under the headings: “Price Watch: Paperboard/Packaging: Grade: Corrugating medium (26-lb): Semichemical, East” in the issue of </w:t>
            </w:r>
            <w:r>
              <w:rPr>
                <w:sz w:val="22"/>
                <w:u w:val="single"/>
              </w:rPr>
              <w:t>Pulp &amp; Paper Week</w:t>
            </w:r>
            <w:r>
              <w:rPr>
                <w:sz w:val="22"/>
              </w:rPr>
              <w:t xml:space="preserve"> that reports prices effective on the Pricing Date for such Calculation Period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Pricing Date(s):</w:t>
            </w:r>
          </w:p>
        </w:tc>
        <w:tc>
          <w:tcPr>
            <w:tcW w:w="5238" w:type="dxa"/>
            <w:tcBorders/>
          </w:tcPr>
          <w:p>
            <w:pPr>
              <w:pStyle w:val="Normal"/>
              <w:jc w:val="both"/>
              <w:rPr/>
            </w:pPr>
            <w:r>
              <w:rPr>
                <w:sz w:val="22"/>
              </w:rPr>
              <w:t xml:space="preserve">Date of publication of </w:t>
            </w:r>
            <w:r>
              <w:rPr>
                <w:sz w:val="22"/>
                <w:u w:val="single"/>
              </w:rPr>
              <w:t>Pulp &amp; Paper Week</w:t>
            </w:r>
            <w:r>
              <w:rPr>
                <w:sz w:val="22"/>
              </w:rPr>
              <w:t>, or any successor publication, published by Miller Freeman Inc. or its successor (such publication, “</w:t>
            </w:r>
            <w:r>
              <w:rPr>
                <w:sz w:val="22"/>
                <w:u w:val="single"/>
              </w:rPr>
              <w:t>Pulp &amp; Paper Week</w:t>
            </w:r>
            <w:r>
              <w:rPr>
                <w:sz w:val="22"/>
              </w:rPr>
              <w:t>”) for the applicable Calculation Period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Fallback Reference Price:</w:t>
            </w:r>
          </w:p>
        </w:tc>
        <w:tc>
          <w:tcPr>
            <w:tcW w:w="5238" w:type="dxa"/>
            <w:tcBorders/>
          </w:tcPr>
          <w:p>
            <w:pPr>
              <w:pStyle w:val="Heading1"/>
              <w:ind w:hanging="0" w:start="0"/>
              <w:rPr/>
            </w:pPr>
            <w:r>
              <w:rPr>
                <w:b w:val="false"/>
                <w:u w:val="none"/>
              </w:rPr>
              <w:t xml:space="preserve">The Fallback Reference Price for any Calculation Period shall be the price per Short Ton of 26 Lb. Semichemical Medium, stated in U.S. Dollars, delivered in the Eastern U.S., published under the headings “Table 2: Paper Packaging Monthly Price Summary: Dollars per Short Ton: Containerboard: 26 Lb. Semichemical Medium: Price (Eastern U.S.)” in the issue of </w:t>
            </w:r>
            <w:r>
              <w:rPr>
                <w:b w:val="false"/>
              </w:rPr>
              <w:t>Paper Packaging Monitor</w:t>
            </w:r>
            <w:r>
              <w:rPr>
                <w:b w:val="false"/>
                <w:u w:val="none"/>
              </w:rPr>
              <w:t>, or its successor publication, as published by Resource Information Systems, Inc. (or its successor) that reports prices effective on the Pricing Date for such Calculation Period, plus U.S. $10.00 per Short Ton</w:t>
            </w:r>
          </w:p>
        </w:tc>
      </w:tr>
      <w:tr>
        <w:trPr/>
        <w:tc>
          <w:tcPr>
            <w:tcW w:w="4338" w:type="dxa"/>
            <w:tcBorders/>
          </w:tcPr>
          <w:p>
            <w:pPr>
              <w:pStyle w:val="Normal"/>
              <w:snapToGrid w:val="false"/>
              <w:jc w:val="both"/>
              <w:rPr>
                <w:b/>
                <w:sz w:val="22"/>
                <w:u w:val="none"/>
              </w:rPr>
            </w:pPr>
            <w:r>
              <w:rPr>
                <w:b/>
                <w:sz w:val="22"/>
                <w:u w:val="none"/>
              </w:rPr>
            </w:r>
          </w:p>
        </w:tc>
        <w:tc>
          <w:tcPr>
            <w:tcW w:w="5238" w:type="dxa"/>
            <w:tcBorders/>
          </w:tcPr>
          <w:p>
            <w:pPr>
              <w:pStyle w:val="Normal"/>
              <w:snapToGrid w:val="false"/>
              <w:jc w:val="both"/>
              <w:rPr>
                <w:sz w:val="22"/>
                <w:u w:val="single"/>
              </w:rPr>
            </w:pPr>
            <w:r>
              <w:rPr>
                <w:sz w:val="22"/>
                <w:u w:val="single"/>
              </w:rPr>
            </w:r>
          </w:p>
        </w:tc>
      </w:tr>
    </w:tbl>
    <w:p>
      <w:pPr>
        <w:pStyle w:val="Normal"/>
        <w:jc w:val="both"/>
        <w:rPr>
          <w:sz w:val="22"/>
        </w:rPr>
      </w:pPr>
      <w:r>
        <w:rPr>
          <w:sz w:val="22"/>
        </w:rPr>
      </w:r>
    </w:p>
    <w:p>
      <w:pPr>
        <w:pStyle w:val="Normal"/>
        <w:tabs>
          <w:tab w:val="clear" w:pos="720"/>
          <w:tab w:val="left" w:pos="4338" w:leader="none"/>
          <w:tab w:val="left" w:pos="9576" w:leader="none"/>
        </w:tabs>
        <w:rPr/>
      </w:pPr>
      <w:r>
        <w:rPr/>
        <w:t>The terms of the Underlying Transaction II to which the Swaption relates are as follows:</w:t>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snapToGrid w:val="false"/>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Total Notional Quantity:</w:t>
            </w:r>
          </w:p>
        </w:tc>
        <w:tc>
          <w:tcPr>
            <w:tcW w:w="5238" w:type="dxa"/>
            <w:tcBorders/>
          </w:tcPr>
          <w:p>
            <w:pPr>
              <w:pStyle w:val="Normal"/>
              <w:jc w:val="both"/>
              <w:rPr>
                <w:sz w:val="22"/>
              </w:rPr>
            </w:pPr>
            <w:r>
              <w:rPr>
                <w:sz w:val="22"/>
              </w:rPr>
              <w:t>96,000 Short Tons</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 xml:space="preserve">Notional Quantity per </w:t>
            </w:r>
          </w:p>
          <w:p>
            <w:pPr>
              <w:pStyle w:val="Normal"/>
              <w:ind w:start="720" w:end="0"/>
              <w:jc w:val="both"/>
              <w:rPr>
                <w:sz w:val="22"/>
              </w:rPr>
            </w:pPr>
            <w:r>
              <w:rPr>
                <w:sz w:val="22"/>
              </w:rPr>
              <w:t>Calculation Period:</w:t>
            </w:r>
          </w:p>
        </w:tc>
        <w:tc>
          <w:tcPr>
            <w:tcW w:w="5238" w:type="dxa"/>
            <w:tcBorders/>
          </w:tcPr>
          <w:p>
            <w:pPr>
              <w:pStyle w:val="Normal"/>
              <w:snapToGrid w:val="false"/>
              <w:jc w:val="both"/>
              <w:rPr>
                <w:sz w:val="22"/>
              </w:rPr>
            </w:pPr>
            <w:r>
              <w:rPr>
                <w:sz w:val="22"/>
              </w:rPr>
            </w:r>
          </w:p>
          <w:p>
            <w:pPr>
              <w:pStyle w:val="Normal"/>
              <w:jc w:val="both"/>
              <w:rPr>
                <w:sz w:val="22"/>
              </w:rPr>
            </w:pPr>
            <w:r>
              <w:rPr>
                <w:sz w:val="22"/>
              </w:rPr>
              <w:t>2,000 Short Tons</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Commodity:</w:t>
            </w:r>
          </w:p>
        </w:tc>
        <w:tc>
          <w:tcPr>
            <w:tcW w:w="5238" w:type="dxa"/>
            <w:tcBorders/>
          </w:tcPr>
          <w:p>
            <w:pPr>
              <w:pStyle w:val="Normal"/>
              <w:jc w:val="both"/>
              <w:rPr>
                <w:sz w:val="22"/>
              </w:rPr>
            </w:pPr>
            <w:r>
              <w:rPr>
                <w:sz w:val="22"/>
              </w:rPr>
              <w:t>26 Lb. Semichemical Medium</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Commodity Unit:</w:t>
            </w:r>
          </w:p>
        </w:tc>
        <w:tc>
          <w:tcPr>
            <w:tcW w:w="5238" w:type="dxa"/>
            <w:tcBorders/>
          </w:tcPr>
          <w:p>
            <w:pPr>
              <w:pStyle w:val="Normal"/>
              <w:jc w:val="both"/>
              <w:rPr>
                <w:sz w:val="22"/>
              </w:rPr>
            </w:pPr>
            <w:r>
              <w:rPr>
                <w:sz w:val="22"/>
              </w:rPr>
              <w:t>Short Tons</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Trade Date:</w:t>
            </w:r>
          </w:p>
        </w:tc>
        <w:tc>
          <w:tcPr>
            <w:tcW w:w="5238" w:type="dxa"/>
            <w:tcBorders/>
          </w:tcPr>
          <w:p>
            <w:pPr>
              <w:pStyle w:val="Normal"/>
              <w:jc w:val="both"/>
              <w:rPr>
                <w:sz w:val="22"/>
              </w:rPr>
            </w:pPr>
            <w:r>
              <w:rPr>
                <w:sz w:val="22"/>
              </w:rPr>
              <w:t>June 21, 1999</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Effective Date:</w:t>
            </w:r>
          </w:p>
        </w:tc>
        <w:tc>
          <w:tcPr>
            <w:tcW w:w="5238" w:type="dxa"/>
            <w:tcBorders/>
          </w:tcPr>
          <w:p>
            <w:pPr>
              <w:pStyle w:val="Normal"/>
              <w:jc w:val="both"/>
              <w:rPr>
                <w:sz w:val="22"/>
              </w:rPr>
            </w:pPr>
            <w:r>
              <w:rPr>
                <w:sz w:val="22"/>
              </w:rPr>
              <w:t>August 1, 1999</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i/>
                <w:i/>
                <w:sz w:val="22"/>
              </w:rPr>
            </w:pPr>
            <w:r>
              <w:rPr>
                <w:i/>
                <w:sz w:val="22"/>
              </w:rPr>
            </w:r>
          </w:p>
        </w:tc>
      </w:tr>
      <w:tr>
        <w:trPr/>
        <w:tc>
          <w:tcPr>
            <w:tcW w:w="4338" w:type="dxa"/>
            <w:tcBorders/>
          </w:tcPr>
          <w:p>
            <w:pPr>
              <w:pStyle w:val="Normal"/>
              <w:ind w:start="720" w:end="0"/>
              <w:jc w:val="both"/>
              <w:rPr>
                <w:sz w:val="22"/>
              </w:rPr>
            </w:pPr>
            <w:r>
              <w:rPr>
                <w:sz w:val="22"/>
              </w:rPr>
              <w:t>Termination Date:</w:t>
            </w:r>
          </w:p>
        </w:tc>
        <w:tc>
          <w:tcPr>
            <w:tcW w:w="5238" w:type="dxa"/>
            <w:tcBorders/>
          </w:tcPr>
          <w:p>
            <w:pPr>
              <w:pStyle w:val="Normal"/>
              <w:jc w:val="both"/>
              <w:rPr>
                <w:sz w:val="22"/>
              </w:rPr>
            </w:pPr>
            <w:r>
              <w:rPr>
                <w:sz w:val="22"/>
              </w:rPr>
              <w:t>July 31, 2003</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Calculation Period(s):</w:t>
            </w:r>
          </w:p>
        </w:tc>
        <w:tc>
          <w:tcPr>
            <w:tcW w:w="5238" w:type="dxa"/>
            <w:tcBorders/>
          </w:tcPr>
          <w:p>
            <w:pPr>
              <w:pStyle w:val="Normal"/>
              <w:ind w:start="-18" w:end="0"/>
              <w:jc w:val="both"/>
              <w:rPr>
                <w:sz w:val="22"/>
              </w:rPr>
            </w:pPr>
            <w:r>
              <w:rPr>
                <w:sz w:val="22"/>
              </w:rPr>
              <w:t>Monthly periods, with the first Calculation Period commencing on August 1, 1999, and the final Calculation Period ending on the July 31, 2003</w:t>
            </w:r>
          </w:p>
        </w:tc>
      </w:tr>
      <w:tr>
        <w:trPr/>
        <w:tc>
          <w:tcPr>
            <w:tcW w:w="4338" w:type="dxa"/>
            <w:tcBorders/>
          </w:tcPr>
          <w:p>
            <w:pPr>
              <w:pStyle w:val="Normal"/>
              <w:snapToGrid w:val="false"/>
              <w:ind w:start="720" w:end="0"/>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Payment Date(s):</w:t>
            </w:r>
          </w:p>
        </w:tc>
        <w:tc>
          <w:tcPr>
            <w:tcW w:w="5238" w:type="dxa"/>
            <w:tcBorders/>
          </w:tcPr>
          <w:p>
            <w:pPr>
              <w:pStyle w:val="Normal"/>
              <w:jc w:val="both"/>
              <w:rPr/>
            </w:pPr>
            <w:r>
              <w:rPr>
                <w:sz w:val="22"/>
              </w:rPr>
              <w:t>The fifth (5</w:t>
            </w:r>
            <w:r>
              <w:rPr>
                <w:sz w:val="22"/>
                <w:vertAlign w:val="superscript"/>
              </w:rPr>
              <w:t>th</w:t>
            </w:r>
            <w:r>
              <w:rPr>
                <w:sz w:val="22"/>
              </w:rPr>
              <w:t>) Business Day following the Pricing Date for the applicable Calculation Period.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jc w:val="both"/>
              <w:rPr>
                <w:b/>
                <w:sz w:val="22"/>
                <w:u w:val="single"/>
              </w:rPr>
            </w:pPr>
            <w:r>
              <w:rPr>
                <w:b/>
                <w:sz w:val="22"/>
                <w:u w:val="single"/>
              </w:rPr>
              <w:t>Fixed Amount Details:</w:t>
            </w:r>
          </w:p>
        </w:tc>
        <w:tc>
          <w:tcPr>
            <w:tcW w:w="5238" w:type="dxa"/>
            <w:tcBorders/>
          </w:tcPr>
          <w:p>
            <w:pPr>
              <w:pStyle w:val="Normal"/>
              <w:snapToGrid w:val="false"/>
              <w:jc w:val="both"/>
              <w:rPr>
                <w:b/>
                <w:sz w:val="22"/>
                <w:u w:val="single"/>
              </w:rPr>
            </w:pPr>
            <w:r>
              <w:rPr>
                <w:b/>
                <w:sz w:val="22"/>
                <w:u w:val="single"/>
              </w:rPr>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Fixed Price Payer:</w:t>
            </w:r>
          </w:p>
        </w:tc>
        <w:tc>
          <w:tcPr>
            <w:tcW w:w="5238" w:type="dxa"/>
            <w:tcBorders/>
          </w:tcPr>
          <w:p>
            <w:pPr>
              <w:pStyle w:val="Normal"/>
              <w:jc w:val="both"/>
              <w:rPr>
                <w:sz w:val="22"/>
              </w:rPr>
            </w:pPr>
            <w:r>
              <w:rPr>
                <w:sz w:val="22"/>
              </w:rPr>
              <w:t>Party A</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Fixed Price:</w:t>
            </w:r>
          </w:p>
        </w:tc>
        <w:tc>
          <w:tcPr>
            <w:tcW w:w="5238" w:type="dxa"/>
            <w:tcBorders/>
          </w:tcPr>
          <w:p>
            <w:pPr>
              <w:pStyle w:val="Normal"/>
              <w:jc w:val="both"/>
              <w:rPr>
                <w:sz w:val="22"/>
              </w:rPr>
            </w:pPr>
            <w:r>
              <w:rPr>
                <w:sz w:val="22"/>
              </w:rPr>
              <w:t>U.S. $390.00 per Short Ton</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jc w:val="both"/>
              <w:rPr>
                <w:b/>
                <w:sz w:val="22"/>
                <w:u w:val="single"/>
              </w:rPr>
            </w:pPr>
            <w:r>
              <w:rPr>
                <w:b/>
                <w:sz w:val="22"/>
                <w:u w:val="single"/>
              </w:rPr>
              <w:t>Floating Amount Details:</w:t>
            </w:r>
          </w:p>
        </w:tc>
        <w:tc>
          <w:tcPr>
            <w:tcW w:w="5238" w:type="dxa"/>
            <w:tcBorders/>
          </w:tcPr>
          <w:p>
            <w:pPr>
              <w:pStyle w:val="Normal"/>
              <w:snapToGrid w:val="false"/>
              <w:jc w:val="both"/>
              <w:rPr>
                <w:b/>
                <w:sz w:val="22"/>
                <w:u w:val="single"/>
              </w:rPr>
            </w:pPr>
            <w:r>
              <w:rPr>
                <w:b/>
                <w:sz w:val="22"/>
                <w:u w:val="single"/>
              </w:rPr>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Floating Price Payer:</w:t>
            </w:r>
          </w:p>
        </w:tc>
        <w:tc>
          <w:tcPr>
            <w:tcW w:w="5238" w:type="dxa"/>
            <w:tcBorders/>
          </w:tcPr>
          <w:p>
            <w:pPr>
              <w:pStyle w:val="Normal"/>
              <w:jc w:val="both"/>
              <w:rPr>
                <w:sz w:val="22"/>
              </w:rPr>
            </w:pPr>
            <w:r>
              <w:rPr>
                <w:sz w:val="22"/>
              </w:rPr>
              <w:t>Party B</w:t>
            </w:r>
          </w:p>
        </w:tc>
      </w:tr>
      <w:tr>
        <w:trPr/>
        <w:tc>
          <w:tcPr>
            <w:tcW w:w="4338" w:type="dxa"/>
            <w:tcBorders/>
          </w:tcPr>
          <w:p>
            <w:pPr>
              <w:pStyle w:val="Normal"/>
              <w:snapToGrid w:val="false"/>
              <w:ind w:start="720" w:end="0"/>
              <w:rPr>
                <w:sz w:val="22"/>
              </w:rPr>
            </w:pPr>
            <w:r>
              <w:rPr>
                <w:sz w:val="22"/>
              </w:rPr>
            </w:r>
          </w:p>
        </w:tc>
        <w:tc>
          <w:tcPr>
            <w:tcW w:w="5238" w:type="dxa"/>
            <w:tcBorders/>
          </w:tcPr>
          <w:p>
            <w:pPr>
              <w:pStyle w:val="Normal"/>
              <w:snapToGrid w:val="false"/>
              <w:rPr>
                <w:sz w:val="22"/>
              </w:rPr>
            </w:pPr>
            <w:r>
              <w:rPr>
                <w:sz w:val="22"/>
              </w:rPr>
            </w:r>
          </w:p>
        </w:tc>
      </w:tr>
      <w:tr>
        <w:trPr/>
        <w:tc>
          <w:tcPr>
            <w:tcW w:w="4338" w:type="dxa"/>
            <w:tcBorders/>
          </w:tcPr>
          <w:p>
            <w:pPr>
              <w:pStyle w:val="Normal"/>
              <w:ind w:start="720" w:end="0"/>
              <w:jc w:val="both"/>
              <w:rPr>
                <w:sz w:val="22"/>
              </w:rPr>
            </w:pPr>
            <w:r>
              <w:rPr>
                <w:sz w:val="22"/>
              </w:rPr>
              <w:t>Floating Price:</w:t>
            </w:r>
          </w:p>
        </w:tc>
        <w:tc>
          <w:tcPr>
            <w:tcW w:w="5238" w:type="dxa"/>
            <w:tcBorders/>
          </w:tcPr>
          <w:p>
            <w:pPr>
              <w:pStyle w:val="Normal"/>
              <w:jc w:val="both"/>
              <w:rPr/>
            </w:pPr>
            <w:r>
              <w:rPr>
                <w:sz w:val="22"/>
              </w:rPr>
              <w:t xml:space="preserve">The Floating Price for each Calculation Period shall be an amount equal to the arithmetic average of the high and low prices per Short Ton of 26 Lb. Semichemical Medium, stated in U.S. Dollars, delivered in the Eastern U.S., published under the headings:  “Price Watch: Paperboard/Packaging: Grade: Corrugating medium (26-lb): Semichemical, East” in the issue of </w:t>
            </w:r>
            <w:r>
              <w:rPr>
                <w:sz w:val="22"/>
                <w:u w:val="single"/>
              </w:rPr>
              <w:t>Pulp &amp; Paper Week</w:t>
            </w:r>
            <w:r>
              <w:rPr>
                <w:sz w:val="22"/>
              </w:rPr>
              <w:t xml:space="preserve"> that reports prices effective on the Pricing Date for such Calculation Period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Pricing Date(s):</w:t>
            </w:r>
          </w:p>
        </w:tc>
        <w:tc>
          <w:tcPr>
            <w:tcW w:w="5238" w:type="dxa"/>
            <w:tcBorders/>
          </w:tcPr>
          <w:p>
            <w:pPr>
              <w:pStyle w:val="Normal"/>
              <w:jc w:val="both"/>
              <w:rPr/>
            </w:pPr>
            <w:r>
              <w:rPr>
                <w:sz w:val="22"/>
              </w:rPr>
              <w:t xml:space="preserve">Date of publication of </w:t>
            </w:r>
            <w:r>
              <w:rPr>
                <w:sz w:val="22"/>
                <w:u w:val="single"/>
              </w:rPr>
              <w:t>Pulp &amp; Paper Week</w:t>
            </w:r>
            <w:r>
              <w:rPr>
                <w:sz w:val="22"/>
              </w:rPr>
              <w:t>, or any successor publication, published by Miller Freeman Inc. or its successor (such publication, “</w:t>
            </w:r>
            <w:r>
              <w:rPr>
                <w:sz w:val="22"/>
                <w:u w:val="single"/>
              </w:rPr>
              <w:t>Pulp &amp; Paper Week</w:t>
            </w:r>
            <w:r>
              <w:rPr>
                <w:sz w:val="22"/>
              </w:rPr>
              <w:t>”) for the applicable Calculation Period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Fallback Reference Price:</w:t>
            </w:r>
          </w:p>
        </w:tc>
        <w:tc>
          <w:tcPr>
            <w:tcW w:w="5238" w:type="dxa"/>
            <w:tcBorders/>
          </w:tcPr>
          <w:p>
            <w:pPr>
              <w:pStyle w:val="Heading1"/>
              <w:ind w:hanging="0" w:start="0"/>
              <w:rPr/>
            </w:pPr>
            <w:r>
              <w:rPr>
                <w:b w:val="false"/>
                <w:u w:val="none"/>
              </w:rPr>
              <w:t xml:space="preserve">The Fallback Reference Price for any Calculation Period shall be the price per Short Ton of 26 Lb. Semichemical Medium, stated in U.S. Dollars, delivered in the Eastern U.S., published under the headings “Table 2: Paper Packaging Monthly Price Summary: Dollars Per Short Ton: Containerboard: 26 Lb. Semichemical Medium: Price (Eastern U.S.)” in the issue of </w:t>
            </w:r>
            <w:r>
              <w:rPr>
                <w:b w:val="false"/>
              </w:rPr>
              <w:t>Paper Packaging Monitor</w:t>
            </w:r>
            <w:r>
              <w:rPr>
                <w:b w:val="false"/>
                <w:u w:val="none"/>
              </w:rPr>
              <w:t>, or its successor publication, as published by Resource Information Systems, Inc. (or its successor) that reports prices effective on the Pricing Date for such Calculation Period, plus U.S. $10.00 per Short Ton</w:t>
            </w:r>
          </w:p>
        </w:tc>
      </w:tr>
      <w:tr>
        <w:trPr/>
        <w:tc>
          <w:tcPr>
            <w:tcW w:w="4338" w:type="dxa"/>
            <w:tcBorders/>
          </w:tcPr>
          <w:p>
            <w:pPr>
              <w:pStyle w:val="Normal"/>
              <w:snapToGrid w:val="false"/>
              <w:jc w:val="both"/>
              <w:rPr>
                <w:b/>
                <w:sz w:val="22"/>
                <w:u w:val="none"/>
              </w:rPr>
            </w:pPr>
            <w:r>
              <w:rPr>
                <w:b/>
                <w:sz w:val="22"/>
                <w:u w:val="none"/>
              </w:rPr>
            </w:r>
          </w:p>
        </w:tc>
        <w:tc>
          <w:tcPr>
            <w:tcW w:w="5238" w:type="dxa"/>
            <w:tcBorders/>
          </w:tcPr>
          <w:p>
            <w:pPr>
              <w:pStyle w:val="Normal"/>
              <w:snapToGrid w:val="false"/>
              <w:jc w:val="both"/>
              <w:rPr>
                <w:sz w:val="22"/>
                <w:u w:val="single"/>
              </w:rPr>
            </w:pPr>
            <w:r>
              <w:rPr>
                <w:sz w:val="22"/>
                <w:u w:val="single"/>
              </w:rPr>
            </w:r>
          </w:p>
        </w:tc>
      </w:tr>
    </w:tbl>
    <w:p>
      <w:pPr>
        <w:pStyle w:val="Normal"/>
        <w:jc w:val="both"/>
        <w:rPr>
          <w:sz w:val="22"/>
        </w:rPr>
      </w:pPr>
      <w:r>
        <w:rPr>
          <w:sz w:val="22"/>
        </w:rPr>
      </w:r>
      <w:r>
        <w:br w:type="page"/>
      </w:r>
    </w:p>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jc w:val="both"/>
        <w:rPr>
          <w:sz w:val="22"/>
        </w:rPr>
      </w:pPr>
      <w:r>
        <w:rPr>
          <w:sz w:val="22"/>
        </w:rPr>
      </w:r>
    </w:p>
    <w:p>
      <w:pPr>
        <w:pStyle w:val="Normal"/>
        <w:jc w:val="both"/>
        <w:rPr>
          <w:sz w:val="22"/>
        </w:rPr>
      </w:pPr>
      <w:r>
        <w:rPr>
          <w:sz w:val="22"/>
        </w:rPr>
      </w:r>
    </w:p>
    <w:p>
      <w:pPr>
        <w:pStyle w:val="Normal"/>
        <w:ind w:firstLine="720" w:end="0"/>
        <w:jc w:val="both"/>
        <w:rPr>
          <w:sz w:val="22"/>
        </w:rPr>
      </w:pPr>
      <w:r>
        <w:rPr>
          <w:sz w:val="22"/>
        </w:rPr>
        <w:t xml:space="preserve">Enron Capital &amp; Trade Resources Corp. is pleased to have entered into this Transaction with you </w:t>
      </w:r>
    </w:p>
    <w:p>
      <w:pPr>
        <w:pStyle w:val="Normal"/>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t>Sincerely,</w:t>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810" w:leader="none"/>
          <w:tab w:val="left" w:pos="2160" w:leader="none"/>
          <w:tab w:val="left" w:pos="5040" w:leader="none"/>
          <w:tab w:val="left" w:pos="6480" w:leader="none"/>
        </w:tabs>
        <w:ind w:start="0" w:end="0"/>
        <w:rPr>
          <w:sz w:val="22"/>
        </w:rPr>
      </w:pPr>
      <w:r>
        <w:rPr>
          <w:sz w:val="22"/>
        </w:rPr>
        <w:t xml:space="preserve">Enron Capital and Trade Resources Corp </w:t>
        <w:tab/>
        <w:t xml:space="preserve">Rock-Tenn Company </w:t>
      </w:r>
    </w:p>
    <w:p>
      <w:pPr>
        <w:pStyle w:val="BodyTextIndent"/>
        <w:tabs>
          <w:tab w:val="left" w:pos="90" w:leader="none"/>
          <w:tab w:val="left" w:pos="810" w:leader="none"/>
          <w:tab w:val="left" w:pos="2160" w:leader="none"/>
          <w:tab w:val="left" w:pos="4140" w:leader="none"/>
          <w:tab w:val="left" w:pos="6480" w:leader="none"/>
        </w:tabs>
        <w:ind w:start="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start="0" w:end="0"/>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sz w:val="22"/>
        </w:rPr>
      </w:pPr>
      <w:r>
        <w:rPr>
          <w:sz w:val="22"/>
        </w:rPr>
        <w:t>By: _________________________</w:t>
        <w:tab/>
        <w:tab/>
        <w:t>By:  ________________________</w:t>
        <w:tab/>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sz w:val="22"/>
        </w:rPr>
      </w:pPr>
      <w:r>
        <w:rPr>
          <w:sz w:val="22"/>
        </w:rPr>
        <w:t>Name: _______________________</w:t>
        <w:tab/>
        <w:tab/>
        <w:t>Name: 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sz w:val="22"/>
        </w:rPr>
      </w:pPr>
      <w:r>
        <w:rPr>
          <w:sz w:val="22"/>
        </w:rPr>
        <w:t>Title: ________________________</w:t>
        <w:tab/>
        <w:tab/>
        <w:t>Title: _______________________</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230" w:leader="none"/>
        <w:tab w:val="right" w:pos="8640" w:leader="none"/>
      </w:tabs>
      <w:jc w:val="both"/>
      <w:rPr/>
    </w:pPr>
    <w:r>
      <w:rPr>
        <w:b/>
        <w:sz w:val="16"/>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5310"/>
        <w:tab w:val="left" w:pos="4230" w:leader="none"/>
      </w:tabs>
      <w:rPr/>
    </w:pPr>
    <w:r>
      <w:rPr>
        <w:rFonts w:cs="Times New Roman" w:ascii="Times New Roman" w:hAnsi="Times New Roman"/>
      </w:rPr>
      <w:tab/>
    </w:r>
    <w:r>
      <w:rPr>
        <w:rStyle w:val="PageNumber"/>
        <w:rFonts w:cs="Times New Roman" w:ascii="Times New Roman" w:hAnsi="Times New Roman"/>
        <w:b/>
        <w:sz w:val="22"/>
      </w:rPr>
      <w:fldChar w:fldCharType="begin"/>
    </w:r>
    <w:r>
      <w:rPr>
        <w:rStyle w:val="PageNumber"/>
        <w:sz w:val="22"/>
        <w:b/>
        <w:rFonts w:cs="Times New Roman" w:ascii="Times New Roman" w:hAnsi="Times New Roman"/>
      </w:rPr>
      <w:instrText xml:space="preserve"> PAGE </w:instrText>
    </w:r>
    <w:r>
      <w:rPr>
        <w:rStyle w:val="PageNumber"/>
        <w:sz w:val="22"/>
        <w:b/>
        <w:rFonts w:cs="Times New Roman" w:ascii="Times New Roman" w:hAnsi="Times New Roman"/>
      </w:rPr>
      <w:fldChar w:fldCharType="separate"/>
    </w:r>
    <w:r>
      <w:rPr>
        <w:rStyle w:val="PageNumber"/>
        <w:sz w:val="22"/>
        <w:b/>
        <w:rFonts w:cs="Times New Roman" w:ascii="Times New Roman" w:hAnsi="Times New Roman"/>
      </w:rPr>
      <w:t>1</w:t>
    </w:r>
    <w:r>
      <w:rPr>
        <w:rStyle w:val="PageNumber"/>
        <w:sz w:val="22"/>
        <w:b/>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end"/>
      <w:rPr>
        <w:sz w:val="22"/>
      </w:rPr>
    </w:pPr>
    <w:r>
      <w:rPr>
        <w:sz w:val="22"/>
      </w:rPr>
      <w:t xml:space="preserve">                                                              </w:t>
    </w:r>
    <w:r>
      <w:rPr>
        <w:sz w:val="22"/>
      </w:rPr>
      <w:t>Deal No. EX2042.1</w:t>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end"/>
      <w:rPr>
        <w:sz w:val="22"/>
      </w:rPr>
    </w:pPr>
    <w:r>
      <w:rPr>
        <w:sz w:val="22"/>
      </w:rPr>
      <w:t xml:space="preserve">                                                              </w:t>
    </w:r>
    <w:r>
      <w:rPr>
        <w:sz w:val="22"/>
      </w:rPr>
      <w:t xml:space="preserve">Deal No. </w:t>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BodyText2">
    <w:name w:val="Body Text 2"/>
    <w:basedOn w:val="Normal"/>
    <w:qFormat/>
    <w:pPr>
      <w:jc w:val="both"/>
    </w:pPr>
    <w:rPr>
      <w:sz w:val="22"/>
    </w:rPr>
  </w:style>
  <w:style w:type="paragraph" w:styleId="BodyTextIndent2">
    <w:name w:val="Body Text Indent 2"/>
    <w:basedOn w:val="Normal"/>
    <w:qFormat/>
    <w:pPr>
      <w:ind w:firstLine="720" w:start="0" w:end="0"/>
      <w:jc w:val="both"/>
    </w:pPr>
    <w:rPr>
      <w:sz w:val="22"/>
    </w:rPr>
  </w:style>
  <w:style w:type="paragraph" w:styleId="BodyTextIndent3">
    <w:name w:val="Body Text Indent 3"/>
    <w:basedOn w:val="Normal"/>
    <w:qFormat/>
    <w:pPr>
      <w:ind w:firstLine="720" w:start="0" w:end="0"/>
      <w:jc w:val="both"/>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1999-06-21T19:03:00Z</dcterms:created>
  <dc:creator>appinst</dc:creator>
  <dc:description/>
  <dc:language>en-CA</dc:language>
  <cp:lastModifiedBy>dneuner</cp:lastModifiedBy>
  <cp:lastPrinted>1999-05-19T08:38:00Z</cp:lastPrinted>
  <dcterms:modified xsi:type="dcterms:W3CDTF">1999-06-21T19:28:00Z</dcterms:modified>
  <cp:revision>4</cp:revision>
  <dc:subject/>
  <dc:title>[ECT LETTERHEAD]</dc:title>
</cp:coreProperties>
</file>