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sz w:val="72"/>
        </w:rPr>
      </w:pPr>
      <w:r>
        <w:rPr>
          <w:sz w:val="72"/>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698500"/>
                <wp:effectExtent l="0" t="0" r="0" b="0"/>
                <wp:wrapTopAndBottom/>
                <wp:docPr id="1" name="Frame1"/>
                <a:graphic xmlns:a="http://schemas.openxmlformats.org/drawingml/2006/main">
                  <a:graphicData uri="http://schemas.microsoft.com/office/word/2010/wordprocessingShape">
                    <wps:wsp>
                      <wps:cNvSpPr txBox="1"/>
                      <wps:spPr>
                        <a:xfrm>
                          <a:off x="0" y="0"/>
                          <a:ext cx="2506345" cy="698500"/>
                        </a:xfrm>
                        <a:prstGeom prst="rect"/>
                        <a:solidFill>
                          <a:srgbClr val="FFFFFF">
                            <a:alpha val="0"/>
                          </a:srgbClr>
                        </a:solidFill>
                        <a:ln w="9525">
                          <a:solidFill>
                            <a:srgbClr val="000000"/>
                          </a:solidFill>
                        </a:ln>
                      </wps:spPr>
                      <wps:txbx>
                        <w:txbxContent>
                          <w:p>
                            <w:pPr>
                              <w:pStyle w:val="CompanyName"/>
                              <w:rPr/>
                            </w:pPr>
                            <w:r>
                              <w:rPr/>
                              <w:t>Enron North America</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Enron North America</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Oscar Dalton</w:t>
      </w:r>
    </w:p>
    <w:p>
      <w:pPr>
        <w:pStyle w:val="MessageHeader"/>
        <w:rPr/>
      </w:pPr>
      <w:r>
        <w:rPr>
          <w:rStyle w:val="MessageHeaderLabel"/>
        </w:rPr>
        <w:t>From:</w:t>
      </w:r>
      <w:r>
        <w:rPr/>
        <w:tab/>
        <w:t>Ben Rogers</w:t>
      </w:r>
    </w:p>
    <w:p>
      <w:pPr>
        <w:pStyle w:val="MessageHeader"/>
        <w:rPr/>
      </w:pPr>
      <w:r>
        <w:rPr>
          <w:rStyle w:val="MessageHeaderLabel"/>
        </w:rPr>
        <w:t>CC:</w:t>
      </w:r>
      <w:r>
        <w:rPr/>
        <w:tab/>
        <w:t>Scot Chambers</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Rochester</w:t>
      </w:r>
    </w:p>
    <w:p>
      <w:pPr>
        <w:pStyle w:val="BodyText"/>
        <w:rPr/>
      </w:pPr>
      <w:r>
        <w:rPr/>
        <w:t>Transaction Summary:</w:t>
      </w:r>
    </w:p>
    <w:p>
      <w:pPr>
        <w:pStyle w:val="BodyText"/>
        <w:rPr/>
      </w:pPr>
      <w:r>
        <w:rPr/>
        <w:t>Development of 1 LM 6000 facility in a urban area for the purposes of supplying the rapid load growth.  ENA will contribute the turbines to Rochester and build the facility, while Rochester will own, operate and finance the facility.  Rochester currently has a Westinghouse 251B (oil-fired), which is dedicated to “SMPA”.  ENA will receive 100% of the output through a PPA for the first year (summer 01) and 50% of the output from 2002 through 2005.  The following are the project specifics:</w:t>
      </w:r>
    </w:p>
    <w:p>
      <w:pPr>
        <w:pStyle w:val="BodyText"/>
        <w:numPr>
          <w:ilvl w:val="0"/>
          <w:numId w:val="2"/>
        </w:numPr>
        <w:rPr/>
      </w:pPr>
      <w:r>
        <w:rPr/>
        <w:t>1 LM 6000 Turbine</w:t>
      </w:r>
    </w:p>
    <w:p>
      <w:pPr>
        <w:pStyle w:val="BodyText"/>
        <w:numPr>
          <w:ilvl w:val="0"/>
          <w:numId w:val="2"/>
        </w:numPr>
        <w:rPr/>
      </w:pPr>
      <w:r>
        <w:rPr/>
        <w:t>Rochester actually needs only 23 MW’s from the facility</w:t>
      </w:r>
    </w:p>
    <w:p>
      <w:pPr>
        <w:pStyle w:val="BodyText"/>
        <w:numPr>
          <w:ilvl w:val="0"/>
          <w:numId w:val="2"/>
        </w:numPr>
        <w:rPr/>
      </w:pPr>
      <w:r>
        <w:rPr/>
        <w:t>Needs substation and compressor’s (NNG is only 400 psi).</w:t>
      </w:r>
    </w:p>
    <w:p>
      <w:pPr>
        <w:pStyle w:val="BodyText"/>
        <w:numPr>
          <w:ilvl w:val="0"/>
          <w:numId w:val="2"/>
        </w:numPr>
        <w:rPr/>
      </w:pPr>
      <w:r>
        <w:rPr/>
        <w:t>Peoples is the closest LDC</w:t>
      </w:r>
    </w:p>
    <w:p>
      <w:pPr>
        <w:pStyle w:val="BodyText"/>
        <w:numPr>
          <w:ilvl w:val="0"/>
          <w:numId w:val="2"/>
        </w:numPr>
        <w:rPr/>
      </w:pPr>
      <w:r>
        <w:rPr/>
        <w:t>No SCR Needed; Water-injection with water on-site</w:t>
      </w:r>
    </w:p>
    <w:p>
      <w:pPr>
        <w:pStyle w:val="BodyText"/>
        <w:numPr>
          <w:ilvl w:val="0"/>
          <w:numId w:val="2"/>
        </w:numPr>
        <w:rPr/>
      </w:pPr>
      <w:r>
        <w:rPr/>
        <w:t>Non-PSD</w:t>
      </w:r>
    </w:p>
    <w:p>
      <w:pPr>
        <w:pStyle w:val="BodyText"/>
        <w:numPr>
          <w:ilvl w:val="0"/>
          <w:numId w:val="2"/>
        </w:numPr>
        <w:rPr/>
      </w:pPr>
      <w:r>
        <w:rPr/>
        <w:t>Main fuel will be natural gas (100% of the time) with Fuel oil #2 as backup</w:t>
      </w:r>
    </w:p>
    <w:p>
      <w:pPr>
        <w:pStyle w:val="BodyText"/>
        <w:numPr>
          <w:ilvl w:val="0"/>
          <w:numId w:val="2"/>
        </w:numPr>
        <w:rPr/>
      </w:pPr>
      <w:r>
        <w:rPr/>
        <w:t>Water source will be from a local muni water system</w:t>
      </w:r>
    </w:p>
    <w:p>
      <w:pPr>
        <w:pStyle w:val="BodyText"/>
        <w:spacing w:before="0" w:after="220"/>
        <w:rPr/>
      </w:pPr>
      <w:r>
        <w:rPr/>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2000-02-14T17:32:00Z</dcterms:created>
  <dc:creator>Ben Rogers</dc:creator>
  <dc:description/>
  <dc:language>en-CA</dc:language>
  <cp:lastModifiedBy>Ben Rogers</cp:lastModifiedBy>
  <dcterms:modified xsi:type="dcterms:W3CDTF">2000-02-14T21:05:00Z</dcterms:modified>
  <cp:revision>7</cp:revision>
  <dc:subject/>
  <dc:title>Memo</dc:title>
</cp:coreProperties>
</file>