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mallCaps/>
          <w:sz w:val="34"/>
        </w:rPr>
      </w:pPr>
      <w:r>
        <w:rPr>
          <w:smallCaps/>
          <w:sz w:val="34"/>
        </w:rPr>
        <w:t>Robert Downer</w:t>
      </w:r>
    </w:p>
    <w:p>
      <w:pPr>
        <w:pStyle w:val="Normal"/>
        <w:widowControl/>
        <w:tabs>
          <w:tab w:val="clear" w:pos="720"/>
          <w:tab w:val="right" w:pos="10170" w:leader="none"/>
        </w:tabs>
        <w:suppressAutoHyphens w:val="true"/>
        <w:jc w:val="center"/>
        <w:rPr>
          <w:spacing w:val="-2"/>
        </w:rPr>
      </w:pPr>
      <w:r>
        <w:rPr>
          <w:spacing w:val="-2"/>
        </w:rPr>
        <w:t>269 Old Orchard Grove</w:t>
        <w:tab/>
      </w:r>
    </w:p>
    <w:p>
      <w:pPr>
        <w:pStyle w:val="Normal"/>
        <w:widowControl/>
        <w:tabs>
          <w:tab w:val="clear" w:pos="720"/>
          <w:tab w:val="right" w:pos="10170" w:leader="none"/>
        </w:tabs>
        <w:suppressAutoHyphens w:val="true"/>
        <w:jc w:val="center"/>
        <w:rPr>
          <w:spacing w:val="-2"/>
        </w:rPr>
      </w:pPr>
      <w:r>
        <w:rPr>
          <w:spacing w:val="-2"/>
        </w:rPr>
        <w:t>Toronto, Ontario, Canada, M2M 2E6</w:t>
        <w:tab/>
      </w:r>
    </w:p>
    <w:p>
      <w:pPr>
        <w:pStyle w:val="Normal"/>
        <w:widowControl/>
        <w:tabs>
          <w:tab w:val="clear" w:pos="720"/>
          <w:tab w:val="right" w:pos="10170" w:leader="none"/>
        </w:tabs>
        <w:suppressAutoHyphens w:val="true"/>
        <w:jc w:val="center"/>
        <w:rPr>
          <w:spacing w:val="-2"/>
        </w:rPr>
      </w:pPr>
      <w:r>
        <w:rPr>
          <w:spacing w:val="-2"/>
        </w:rPr>
        <w:t>Tel:  (416) 544-1846</w:t>
      </w:r>
    </w:p>
    <w:p>
      <w:pPr>
        <w:pStyle w:val="Normal"/>
        <w:widowControl/>
        <w:tabs>
          <w:tab w:val="clear" w:pos="720"/>
          <w:tab w:val="right" w:pos="10170" w:leader="none"/>
        </w:tabs>
        <w:suppressAutoHyphens w:val="true"/>
        <w:jc w:val="center"/>
        <w:rPr>
          <w:spacing w:val="-2"/>
        </w:rPr>
      </w:pPr>
      <w:r>
        <w:rPr>
          <w:rStyle w:val="Hyperlink"/>
          <w:u w:val="none"/>
        </w:rPr>
        <w:t>rwr_downer@yahoo.com</w:t>
      </w:r>
    </w:p>
    <w:p>
      <w:pPr>
        <w:pStyle w:val="Normal"/>
        <w:widowControl/>
        <w:tabs>
          <w:tab w:val="clear" w:pos="720"/>
          <w:tab w:val="left" w:pos="-720" w:leader="none"/>
        </w:tabs>
        <w:suppressAutoHyphens w:val="true"/>
        <w:jc w:val="both"/>
        <w:rPr>
          <w:spacing w:val="-2"/>
          <w:sz w:val="10"/>
        </w:rPr>
      </w:pPr>
      <w:r>
        <w:rPr>
          <w:spacing w:val="-2"/>
          <w:sz w:val="10"/>
        </w:rPr>
      </w:r>
    </w:p>
    <w:p>
      <w:pPr>
        <w:pStyle w:val="Normal"/>
        <w:widowControl/>
        <w:tabs>
          <w:tab w:val="clear" w:pos="720"/>
          <w:tab w:val="left" w:pos="-720" w:leader="none"/>
        </w:tabs>
        <w:suppressAutoHyphens w:val="true"/>
        <w:ind w:hanging="180" w:end="0"/>
        <w:jc w:val="both"/>
        <w:rPr>
          <w:spacing w:val="-2"/>
        </w:rPr>
      </w:pPr>
      <w:r>
        <w:rPr>
          <w:b/>
          <w:spacing w:val="-3"/>
          <w:sz w:val="28"/>
        </w:rPr>
        <w:t>P</w:t>
      </w:r>
      <w:r>
        <w:rPr>
          <w:b/>
          <w:spacing w:val="-3"/>
          <w:sz w:val="24"/>
        </w:rPr>
        <w:t xml:space="preserve">ROFESSIONAL </w:t>
      </w:r>
      <w:r>
        <w:rPr>
          <w:b/>
          <w:spacing w:val="-3"/>
          <w:sz w:val="28"/>
        </w:rPr>
        <w:t>E</w:t>
      </w:r>
      <w:r>
        <w:rPr>
          <w:b/>
          <w:spacing w:val="-3"/>
          <w:sz w:val="24"/>
        </w:rPr>
        <w:t>XPERIENCE</w:t>
      </w:r>
    </w:p>
    <w:p>
      <w:pPr>
        <w:pStyle w:val="Normal"/>
        <w:widowControl/>
        <w:tabs>
          <w:tab w:val="clear" w:pos="720"/>
          <w:tab w:val="left" w:pos="2160" w:leader="none"/>
          <w:tab w:val="right" w:pos="9360" w:leader="none"/>
        </w:tabs>
        <w:suppressAutoHyphens w:val="true"/>
        <w:jc w:val="both"/>
        <w:rPr>
          <w:spacing w:val="-2"/>
          <w:sz w:val="16"/>
          <w:lang w:val="en-CA"/>
        </w:rPr>
      </w:pPr>
      <w:r>
        <w:rPr>
          <w:spacing w:val="-2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-91440</wp:posOffset>
                </wp:positionH>
                <wp:positionV relativeFrom="paragraph">
                  <wp:posOffset>24765</wp:posOffset>
                </wp:positionV>
                <wp:extent cx="6584315" cy="635"/>
                <wp:effectExtent l="635" t="6350" r="635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1.95pt" to="511.2pt,1.9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/>
      </w:pPr>
      <w:r>
        <w:rPr>
          <w:b/>
          <w:smallCaps/>
          <w:spacing w:val="-2"/>
          <w:sz w:val="21"/>
        </w:rPr>
        <w:t>Goldman Sachs Canada</w:t>
      </w:r>
      <w:r>
        <w:rPr>
          <w:smallCaps/>
          <w:spacing w:val="-2"/>
          <w:sz w:val="21"/>
        </w:rPr>
        <w:tab/>
      </w:r>
      <w:r>
        <w:rPr>
          <w:spacing w:val="-2"/>
          <w:sz w:val="21"/>
        </w:rPr>
        <w:t>Toronto, Ont., Canada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/>
      </w:pPr>
      <w:r>
        <w:rPr>
          <w:b/>
          <w:i/>
          <w:spacing w:val="-2"/>
          <w:sz w:val="21"/>
        </w:rPr>
        <w:t>Vice-President: Fixed Income, Currencies and Commodities</w:t>
      </w:r>
      <w:r>
        <w:rPr>
          <w:i/>
          <w:spacing w:val="-2"/>
          <w:sz w:val="21"/>
        </w:rPr>
        <w:tab/>
        <w:t>March 1997-February 2001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>
          <w:b/>
          <w:spacing w:val="-2"/>
          <w:sz w:val="21"/>
        </w:rPr>
      </w:pPr>
      <w:r>
        <w:rPr>
          <w:spacing w:val="-2"/>
          <w:sz w:val="21"/>
        </w:rPr>
        <w:t>Various roles and duties including</w:t>
      </w:r>
      <w:r>
        <w:rPr>
          <w:i/>
          <w:spacing w:val="-2"/>
          <w:sz w:val="21"/>
        </w:rPr>
        <w:t>: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Financial Analysis – constructed models to assist in both proprietary trading and to facilitate customer flows, involved in the development of derivative type structures to meet client risk/return requirements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Capital Markets – worked  in a team environment to develop funding solutions for companies, comparison between funding levels in different currencies, terms and structures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Corporate Trading – traded both investment and high yield credit in C$, conducted comparative analysis between where C$ debt trades relative to other currencies, made markets and proprietary traded in C$ corporate bonds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 xml:space="preserve">MBS Trading – traded all types of C$ MBS/ABS, involved in the securitization and underwriting process for various issues, #1/#2 in underwriting multi-family pools for independent trust companies for 2000, involved in educating clients about nuances of C$ MBS, main contact as lead underwriter for $2B annual program for Canada Trust (prior to TD merger) 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>
          <w:b/>
          <w:smallCaps/>
          <w:spacing w:val="-2"/>
          <w:sz w:val="16"/>
        </w:rPr>
      </w:pPr>
      <w:r>
        <w:rPr>
          <w:b/>
          <w:smallCaps/>
          <w:spacing w:val="-2"/>
          <w:sz w:val="16"/>
        </w:rPr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/>
      </w:pPr>
      <w:r>
        <w:rPr>
          <w:b/>
          <w:smallCaps/>
          <w:spacing w:val="-2"/>
          <w:sz w:val="21"/>
        </w:rPr>
        <w:t>John Morrell &amp; Associates</w:t>
      </w:r>
      <w:r>
        <w:rPr>
          <w:smallCaps/>
          <w:spacing w:val="-2"/>
          <w:sz w:val="21"/>
        </w:rPr>
        <w:tab/>
      </w:r>
      <w:r>
        <w:rPr>
          <w:spacing w:val="-2"/>
          <w:sz w:val="21"/>
        </w:rPr>
        <w:t>London, England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>
          <w:b/>
          <w:spacing w:val="-2"/>
          <w:sz w:val="21"/>
        </w:rPr>
      </w:pPr>
      <w:r>
        <w:rPr>
          <w:b/>
          <w:i/>
          <w:spacing w:val="-2"/>
          <w:sz w:val="21"/>
        </w:rPr>
        <w:t>Consultant; International Investments</w:t>
      </w:r>
      <w:r>
        <w:rPr>
          <w:i/>
          <w:spacing w:val="-2"/>
          <w:sz w:val="21"/>
        </w:rPr>
        <w:tab/>
        <w:t>Summer 1996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12"/>
        </w:rPr>
      </w:pPr>
      <w:r>
        <w:rPr>
          <w:spacing w:val="-2"/>
          <w:sz w:val="21"/>
        </w:rPr>
        <w:t>Worked as member of team developing Developed World Strategy Benchmark for Institutional Investors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Worked in the development and testing of services to increase investment performance for Institutional Investors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12"/>
        </w:rPr>
      </w:pPr>
      <w:r>
        <w:rPr>
          <w:spacing w:val="-2"/>
          <w:sz w:val="21"/>
        </w:rPr>
        <w:t>Consulted with clients to discuss needs and possible services to improve investment performance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12"/>
        </w:rPr>
      </w:pPr>
      <w:r>
        <w:rPr>
          <w:spacing w:val="-2"/>
          <w:sz w:val="12"/>
        </w:rPr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12"/>
        </w:rPr>
      </w:pPr>
      <w:r>
        <w:rPr>
          <w:spacing w:val="-2"/>
          <w:sz w:val="12"/>
        </w:rPr>
      </w:r>
    </w:p>
    <w:p>
      <w:pPr>
        <w:pStyle w:val="Normal"/>
        <w:widowControl/>
        <w:tabs>
          <w:tab w:val="left" w:pos="-720" w:leader="none"/>
          <w:tab w:val="left" w:pos="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/>
      </w:pPr>
      <w:r>
        <w:rPr>
          <w:b/>
          <w:smallCaps/>
          <w:spacing w:val="-2"/>
          <w:sz w:val="21"/>
        </w:rPr>
        <w:t>NODECO, Hibernia Project</w:t>
      </w:r>
      <w:r>
        <w:rPr>
          <w:smallCaps/>
          <w:spacing w:val="-2"/>
          <w:sz w:val="21"/>
        </w:rPr>
        <w:tab/>
        <w:t>B</w:t>
      </w:r>
      <w:r>
        <w:rPr>
          <w:spacing w:val="-2"/>
          <w:sz w:val="21"/>
        </w:rPr>
        <w:t>ull Arm, NF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ind w:hanging="360" w:start="360" w:end="0"/>
        <w:rPr>
          <w:b/>
          <w:spacing w:val="-2"/>
          <w:sz w:val="21"/>
        </w:rPr>
      </w:pPr>
      <w:r>
        <w:rPr>
          <w:b/>
          <w:i/>
          <w:spacing w:val="-2"/>
          <w:sz w:val="21"/>
        </w:rPr>
        <w:t>Assistant Planner</w:t>
        <w:tab/>
        <w:tab/>
      </w:r>
      <w:r>
        <w:rPr>
          <w:i/>
          <w:spacing w:val="-2"/>
          <w:sz w:val="21"/>
        </w:rPr>
        <w:t>1995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Forecasted and monitored production of construction engineering drawings by staff of ten (10)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Liaison with Temporary Design Engineer to meet the needs of Construction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Responsible for upkeep of relational database, with to forecast drawing details</w:t>
      </w:r>
    </w:p>
    <w:p>
      <w:pPr>
        <w:pStyle w:val="Normal"/>
        <w:widowControl/>
        <w:tabs>
          <w:tab w:val="clear" w:pos="720"/>
          <w:tab w:val="left" w:pos="2160" w:leader="none"/>
          <w:tab w:val="right" w:pos="9360" w:leader="none"/>
        </w:tabs>
        <w:suppressAutoHyphens w:val="true"/>
        <w:rPr>
          <w:spacing w:val="-2"/>
          <w:sz w:val="16"/>
        </w:rPr>
      </w:pPr>
      <w:r>
        <w:rPr>
          <w:spacing w:val="-2"/>
          <w:sz w:val="16"/>
        </w:rPr>
      </w:r>
    </w:p>
    <w:p>
      <w:pPr>
        <w:pStyle w:val="Normal"/>
        <w:widowControl/>
        <w:tabs>
          <w:tab w:val="clear" w:pos="720"/>
          <w:tab w:val="left" w:pos="-720" w:leader="none"/>
        </w:tabs>
        <w:suppressAutoHyphens w:val="true"/>
        <w:ind w:hanging="180" w:end="0"/>
        <w:jc w:val="both"/>
        <w:rPr>
          <w:spacing w:val="-2"/>
        </w:rPr>
      </w:pPr>
      <w:r>
        <w:rPr>
          <w:b/>
          <w:spacing w:val="-3"/>
          <w:sz w:val="28"/>
        </w:rPr>
        <w:t>E</w:t>
      </w:r>
      <w:r>
        <w:rPr>
          <w:b/>
          <w:spacing w:val="-3"/>
          <w:sz w:val="24"/>
        </w:rPr>
        <w:t>DUCATION</w:t>
      </w:r>
    </w:p>
    <w:p>
      <w:pPr>
        <w:pStyle w:val="Normal"/>
        <w:widowControl/>
        <w:tabs>
          <w:tab w:val="clear" w:pos="720"/>
          <w:tab w:val="left" w:pos="-720" w:leader="none"/>
        </w:tabs>
        <w:suppressAutoHyphens w:val="true"/>
        <w:jc w:val="both"/>
        <w:rPr>
          <w:spacing w:val="-2"/>
          <w:sz w:val="16"/>
          <w:lang w:val="en-CA"/>
        </w:rPr>
      </w:pPr>
      <w:r>
        <w:rPr>
          <w:spacing w:val="-2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24130</wp:posOffset>
                </wp:positionV>
                <wp:extent cx="6583680" cy="635"/>
                <wp:effectExtent l="635" t="6350" r="635" b="635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1.9pt" to="511.15pt,1.9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  <w:t>Chartered Financial Analyst - Candidate for Level III</w:t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16"/>
        </w:rPr>
      </w:pPr>
      <w:r>
        <w:rPr>
          <w:b/>
          <w:spacing w:val="-2"/>
          <w:sz w:val="16"/>
        </w:rPr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  <w:t>Securities Courses</w:t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Canadian Securities institute – CSC, CPH</w:t>
        <w:tab/>
        <w:t>NASD – Series 3, Series 7, Series 63</w:t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  <w:t xml:space="preserve">Masters of Business Administration, </w:t>
      </w:r>
      <w:r>
        <w:rPr>
          <w:spacing w:val="-2"/>
          <w:sz w:val="21"/>
        </w:rPr>
        <w:t>Finance</w:t>
      </w:r>
      <w:r>
        <w:rPr>
          <w:b/>
          <w:spacing w:val="-2"/>
          <w:sz w:val="21"/>
        </w:rPr>
        <w:tab/>
      </w:r>
      <w:r>
        <w:rPr>
          <w:spacing w:val="-2"/>
          <w:sz w:val="21"/>
        </w:rPr>
        <w:t>University of British Columbia</w:t>
      </w:r>
    </w:p>
    <w:p>
      <w:pPr>
        <w:pStyle w:val="Heading3"/>
        <w:widowControl/>
        <w:tabs>
          <w:tab w:val="left" w:pos="-720" w:leader="none"/>
          <w:tab w:val="right" w:pos="10170" w:leader="none"/>
        </w:tabs>
        <w:ind w:hanging="0" w:start="0"/>
        <w:rPr/>
      </w:pPr>
      <w:r>
        <w:rPr/>
        <w:t xml:space="preserve">Awards: </w:t>
      </w:r>
      <w:r>
        <w:rPr>
          <w:i w:val="false"/>
        </w:rPr>
        <w:t>Class Valedictorian, Center for International Studies Fellowship</w:t>
        <w:tab/>
        <w:t>December 1996</w:t>
      </w:r>
    </w:p>
    <w:p>
      <w:pPr>
        <w:pStyle w:val="Normal"/>
        <w:widowControl/>
        <w:rPr>
          <w:sz w:val="21"/>
        </w:rPr>
      </w:pPr>
      <w:r>
        <w:rPr/>
        <w:t xml:space="preserve">  </w:t>
      </w:r>
      <w:r>
        <w:rPr/>
        <w:tab/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jc w:val="both"/>
        <w:rPr/>
      </w:pPr>
      <w:r>
        <w:rPr>
          <w:b/>
          <w:spacing w:val="-2"/>
          <w:sz w:val="21"/>
        </w:rPr>
        <w:t xml:space="preserve">Bachelor of Engineering, </w:t>
      </w:r>
      <w:r>
        <w:rPr>
          <w:spacing w:val="-2"/>
          <w:sz w:val="21"/>
        </w:rPr>
        <w:t>Civil Engineering</w:t>
        <w:tab/>
        <w:t>Memorial University of Newfoundland</w:t>
      </w:r>
    </w:p>
    <w:p>
      <w:pPr>
        <w:pStyle w:val="Heading3"/>
        <w:widowControl/>
        <w:ind w:hanging="0" w:start="0"/>
        <w:rPr/>
      </w:pPr>
      <w:r>
        <w:rPr/>
        <w:t>Awards: Dean’s Honour List</w:t>
        <w:tab/>
        <w:tab/>
        <w:tab/>
        <w:tab/>
        <w:tab/>
        <w:tab/>
        <w:tab/>
        <w:tab/>
        <w:tab/>
        <w:tab/>
        <w:t>May 1994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suppressAutoHyphens w:val="true"/>
        <w:ind w:hanging="2340" w:start="2160" w:end="0"/>
        <w:jc w:val="both"/>
        <w:rPr>
          <w:b/>
          <w:spacing w:val="-3"/>
          <w:sz w:val="28"/>
        </w:rPr>
      </w:pPr>
      <w:r>
        <w:rPr>
          <w:b/>
          <w:spacing w:val="-3"/>
          <w:sz w:val="28"/>
        </w:rPr>
        <w:t>P</w:t>
      </w:r>
      <w:r>
        <w:rPr>
          <w:b/>
          <w:spacing w:val="-3"/>
          <w:sz w:val="24"/>
        </w:rPr>
        <w:t xml:space="preserve">ERSONAL </w:t>
      </w:r>
      <w:r>
        <w:rPr>
          <w:b/>
          <w:spacing w:val="-3"/>
          <w:sz w:val="28"/>
        </w:rPr>
        <w:t>I</w:t>
      </w:r>
      <w:r>
        <w:rPr>
          <w:b/>
          <w:spacing w:val="-3"/>
          <w:sz w:val="24"/>
        </w:rPr>
        <w:t xml:space="preserve">NTERESTS </w:t>
      </w:r>
    </w:p>
    <w:p>
      <w:pPr>
        <w:pStyle w:val="Normal"/>
        <w:widowControl/>
        <w:tabs>
          <w:tab w:val="clear" w:pos="720"/>
          <w:tab w:val="left" w:pos="-720" w:leader="none"/>
        </w:tabs>
        <w:suppressAutoHyphens w:val="true"/>
        <w:ind w:hanging="360" w:start="360" w:end="0"/>
        <w:jc w:val="both"/>
        <w:rPr>
          <w:b/>
          <w:spacing w:val="-2"/>
          <w:sz w:val="16"/>
          <w:lang w:val="en-CA"/>
        </w:rPr>
      </w:pPr>
      <w:r>
        <w:rPr>
          <w:b/>
          <w:spacing w:val="-2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43180</wp:posOffset>
                </wp:positionV>
                <wp:extent cx="6584315" cy="635"/>
                <wp:effectExtent l="635" t="6350" r="635" b="63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3.4pt" to="511.2pt,3.4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  <w:t>Engineer</w:t>
        <w:tab/>
      </w:r>
      <w:r>
        <w:rPr>
          <w:spacing w:val="-2"/>
          <w:sz w:val="21"/>
        </w:rPr>
        <w:t>Beijing, China</w:t>
      </w:r>
    </w:p>
    <w:p>
      <w:pPr>
        <w:pStyle w:val="Heading3"/>
        <w:widowControl/>
        <w:tabs>
          <w:tab w:val="left" w:pos="-720" w:leader="none"/>
          <w:tab w:val="right" w:pos="10170" w:leader="none"/>
        </w:tabs>
        <w:ind w:hanging="0" w:start="0"/>
        <w:rPr/>
      </w:pPr>
      <w:r>
        <w:rPr>
          <w:i w:val="false"/>
        </w:rPr>
        <w:t>CSCE/CIDA Youth initiative Program</w:t>
      </w:r>
      <w:r>
        <w:rPr/>
        <w:tab/>
      </w:r>
      <w:r>
        <w:rPr>
          <w:i w:val="false"/>
        </w:rPr>
        <w:t>Fall 1994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Studied various sites and exchanged information with Chinese colleagues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Organized and participated in meetings with numerous academic and government officials</w:t>
      </w:r>
    </w:p>
    <w:p>
      <w:pPr>
        <w:pStyle w:val="Normal"/>
        <w:widowControl/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</w:r>
    </w:p>
    <w:p>
      <w:pPr>
        <w:pStyle w:val="Normal"/>
        <w:widowControl/>
        <w:tabs>
          <w:tab w:val="clear" w:pos="720"/>
          <w:tab w:val="left" w:pos="-720" w:leader="none"/>
          <w:tab w:val="right" w:pos="10170" w:leader="none"/>
        </w:tabs>
        <w:suppressAutoHyphens w:val="true"/>
        <w:rPr>
          <w:b/>
          <w:spacing w:val="-2"/>
          <w:sz w:val="21"/>
        </w:rPr>
      </w:pPr>
      <w:r>
        <w:rPr>
          <w:b/>
          <w:spacing w:val="-2"/>
          <w:sz w:val="21"/>
        </w:rPr>
        <w:t>Special Olympics Coach</w:t>
        <w:tab/>
      </w:r>
      <w:r>
        <w:rPr>
          <w:spacing w:val="-2"/>
          <w:sz w:val="21"/>
        </w:rPr>
        <w:t>Mount Pearl, NF</w:t>
      </w:r>
    </w:p>
    <w:p>
      <w:pPr>
        <w:pStyle w:val="Heading3"/>
        <w:widowControl/>
        <w:tabs>
          <w:tab w:val="left" w:pos="-720" w:leader="none"/>
          <w:tab w:val="right" w:pos="10170" w:leader="none"/>
        </w:tabs>
        <w:ind w:hanging="0" w:start="0"/>
        <w:rPr/>
      </w:pPr>
      <w:r>
        <w:rPr>
          <w:i w:val="false"/>
        </w:rPr>
        <w:t>Newfoundland &amp; Labrador Special Olympics Summer Games</w:t>
      </w:r>
      <w:r>
        <w:rPr/>
        <w:tab/>
      </w:r>
      <w:r>
        <w:rPr>
          <w:i w:val="false"/>
        </w:rPr>
        <w:t>Summer 1995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>Member of a team of coaches involved in training of 20 athletes</w:t>
      </w:r>
    </w:p>
    <w:p>
      <w:pPr>
        <w:pStyle w:val="Normal"/>
        <w:widowControl/>
        <w:numPr>
          <w:ilvl w:val="0"/>
          <w:numId w:val="2"/>
        </w:numPr>
        <w:tabs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right" w:pos="10170" w:leader="none"/>
        </w:tabs>
        <w:suppressAutoHyphens w:val="true"/>
        <w:rPr>
          <w:spacing w:val="-2"/>
          <w:sz w:val="21"/>
        </w:rPr>
      </w:pPr>
      <w:r>
        <w:rPr>
          <w:spacing w:val="-2"/>
          <w:sz w:val="21"/>
        </w:rPr>
        <w:t xml:space="preserve">Responsible for chaperoning 10 (ten) males athletes during the Games </w:t>
      </w:r>
    </w:p>
    <w:sectPr>
      <w:type w:val="nextPage"/>
      <w:pgSz w:w="12240" w:h="15840"/>
      <w:pgMar w:left="1008" w:right="1008" w:gutter="0" w:header="0" w:top="576" w:footer="0" w:bottom="43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1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  <w:tab w:val="right" w:pos="10170" w:leader="none"/>
      </w:tabs>
      <w:suppressAutoHyphens w:val="true"/>
      <w:outlineLvl w:val="0"/>
    </w:pPr>
    <w:rPr>
      <w:i/>
      <w:spacing w:val="-2"/>
      <w:sz w:val="21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  <w:tab w:val="right" w:pos="9540" w:leader="none"/>
      </w:tabs>
      <w:suppressAutoHyphens w:val="true"/>
      <w:jc w:val="both"/>
      <w:outlineLvl w:val="1"/>
    </w:pPr>
    <w:rPr>
      <w:b/>
      <w:spacing w:val="-2"/>
      <w:sz w:val="21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720" w:leader="none"/>
      </w:tabs>
      <w:suppressAutoHyphens w:val="true"/>
      <w:jc w:val="both"/>
      <w:outlineLvl w:val="2"/>
    </w:pPr>
    <w:rPr>
      <w:i/>
      <w:spacing w:val="-2"/>
      <w:sz w:val="21"/>
    </w:rPr>
  </w:style>
  <w:style w:type="character" w:styleId="WW8NumSt1z0">
    <w:name w:val="WW8NumSt1z0"/>
    <w:qFormat/>
    <w:rPr>
      <w:rFonts w:ascii="Wingdings" w:hAnsi="Wingdings" w:cs="Wingdings"/>
      <w:sz w:val="21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sz w:val="2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-720" w:leader="none"/>
      </w:tabs>
      <w:suppressAutoHyphens w:val="true"/>
      <w:jc w:val="center"/>
    </w:pPr>
    <w:rPr>
      <w:b/>
      <w:spacing w:val="-2"/>
      <w:sz w:val="3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  <w:tab w:val="left" w:pos="360" w:leader="none"/>
        <w:tab w:val="right" w:pos="10170" w:leader="none"/>
      </w:tabs>
      <w:suppressAutoHyphens w:val="true"/>
      <w:ind w:hanging="360" w:start="360" w:end="0"/>
      <w:jc w:val="both"/>
    </w:pPr>
    <w:rPr>
      <w:spacing w:val="-2"/>
      <w:sz w:val="21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2001-03-01T12:07:00Z</dcterms:created>
  <dc:creator>KPMG</dc:creator>
  <dc:description/>
  <dc:language>en-CA</dc:language>
  <cp:lastModifiedBy>Compaq</cp:lastModifiedBy>
  <cp:lastPrinted>2001-02-27T21:06:00Z</cp:lastPrinted>
  <dcterms:modified xsi:type="dcterms:W3CDTF">2001-03-01T14:12:00Z</dcterms:modified>
  <cp:revision>4</cp:revision>
  <dc:subject/>
  <dc:title>l</dc:title>
</cp:coreProperties>
</file>