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
        </w:rPr>
      </w:pPr>
      <w:r>
        <w:rPr>
          <w:sz w:val="2"/>
        </w:rPr>
      </w:r>
      <w:r>
        <mc:AlternateContent>
          <mc:Choice Requires="wps">
            <w:drawing>
              <wp:anchor behindDoc="0" distT="0" distB="0" distL="114300" distR="114300" simplePos="0" locked="0" layoutInCell="0" allowOverlap="1" relativeHeight="2">
                <wp:simplePos x="0" y="0"/>
                <wp:positionH relativeFrom="page">
                  <wp:posOffset>1057910</wp:posOffset>
                </wp:positionH>
                <wp:positionV relativeFrom="paragraph">
                  <wp:posOffset>-647065</wp:posOffset>
                </wp:positionV>
                <wp:extent cx="3820160" cy="1812925"/>
                <wp:effectExtent l="0" t="0" r="0" b="0"/>
                <wp:wrapSquare wrapText="bothSides"/>
                <wp:docPr id="1" name="Frame1"/>
                <a:graphic xmlns:a="http://schemas.openxmlformats.org/drawingml/2006/main">
                  <a:graphicData uri="http://schemas.microsoft.com/office/word/2010/wordprocessingShape">
                    <wps:wsp>
                      <wps:cNvSpPr txBox="1"/>
                      <wps:spPr>
                        <a:xfrm>
                          <a:off x="0" y="0"/>
                          <a:ext cx="3820160" cy="1812925"/>
                        </a:xfrm>
                        <a:prstGeom prst="rect"/>
                        <a:solidFill>
                          <a:srgbClr val="FFFFFF">
                            <a:alpha val="0"/>
                          </a:srgbClr>
                        </a:solidFill>
                      </wps:spPr>
                      <wps:txbx>
                        <w:txbxContent>
                          <w:p>
                            <w:pPr>
                              <w:pStyle w:val="Normal"/>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8.15pt;height:117.4pt" filled="f" o:ole="">
                                  <v:imagedata r:id="rId3" o:title=""/>
                                </v:shape>
                                <o:OLEObject Type="Embed" ProgID="" ShapeID="ole_rId2" DrawAspect="Content" ObjectID="_765647935" r:id="rId2"/>
                              </w:object>
                            </w:r>
                          </w:p>
                          <w:p>
                            <w:pPr>
                              <w:pStyle w:val="Normal"/>
                              <w:rPr/>
                            </w:pPr>
                            <w:r>
                              <w:rPr/>
                            </w:r>
                          </w:p>
                          <w:p>
                            <w:pPr>
                              <w:pStyle w:val="Normal"/>
                              <w:rPr>
                                <w:rFonts w:ascii="Arial" w:hAnsi="Arial" w:cs="Arial"/>
                                <w:sz w:val="24"/>
                              </w:rPr>
                            </w:pPr>
                            <w:r>
                              <w:rPr>
                                <w:rFonts w:cs="Arial" w:ascii="Arial" w:hAnsi="Arial"/>
                                <w:b/>
                                <w:sz w:val="24"/>
                              </w:rPr>
                              <w:t>Inter-Office Memo</w:t>
                            </w:r>
                          </w:p>
                        </w:txbxContent>
                      </wps:txbx>
                      <wps:bodyPr anchor="t" lIns="0" tIns="0" rIns="0" bIns="0">
                        <a:noAutofit/>
                      </wps:bodyPr>
                    </wps:wsp>
                  </a:graphicData>
                </a:graphic>
              </wp:anchor>
            </w:drawing>
          </mc:Choice>
          <mc:Fallback>
            <w:pict>
              <v:rect fillcolor="#FFFFFF" style="position:absolute;rotation:-0;width:300.8pt;height:142.75pt;mso-wrap-distance-left:9pt;mso-wrap-distance-right:9pt;mso-wrap-distance-top:0pt;mso-wrap-distance-bottom:0pt;margin-top:-50.95pt;mso-position-vertical-relative:text;margin-left:83.3pt;mso-position-horizontal-relative:page">
                <v:fill opacity="0f"/>
                <v:textbox inset="0in,0in,0in,0in">
                  <w:txbxContent>
                    <w:p>
                      <w:pPr>
                        <w:pStyle w:val="Normal"/>
                        <w:rPr/>
                      </w:pPr>
                      <w:r>
                        <w:rPr/>
                        <w:object w:dxaOrig="4635" w:dyaOrig="460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18.15pt;height:117.4pt" filled="f" o:ole="">
                            <v:imagedata r:id="rId5" o:title=""/>
                          </v:shape>
                          <o:OLEObject Type="Embed" ProgID="" ShapeID="ole_rId4" DrawAspect="Content" ObjectID="_603601088" r:id="rId4"/>
                        </w:object>
                      </w:r>
                    </w:p>
                    <w:p>
                      <w:pPr>
                        <w:pStyle w:val="Normal"/>
                        <w:rPr/>
                      </w:pPr>
                      <w:r>
                        <w:rPr/>
                      </w:r>
                    </w:p>
                    <w:p>
                      <w:pPr>
                        <w:pStyle w:val="Normal"/>
                        <w:rPr>
                          <w:rFonts w:ascii="Arial" w:hAnsi="Arial" w:cs="Arial"/>
                          <w:sz w:val="24"/>
                        </w:rPr>
                      </w:pPr>
                      <w:r>
                        <w:rPr>
                          <w:rFonts w:cs="Arial" w:ascii="Arial" w:hAnsi="Arial"/>
                          <w:b/>
                          <w:sz w:val="24"/>
                        </w:rPr>
                        <w:t>Inter-Office Memo</w:t>
                      </w:r>
                    </w:p>
                  </w:txbxContent>
                </v:textbox>
                <w10:wrap type="square"/>
              </v:rect>
            </w:pict>
          </mc:Fallback>
        </mc:AlternateContent>
      </w:r>
    </w:p>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1188" w:type="dxa"/>
            <w:tcBorders/>
          </w:tcPr>
          <w:p>
            <w:pPr>
              <w:pStyle w:val="Normal"/>
              <w:rPr>
                <w:rFonts w:ascii="Arial" w:hAnsi="Arial" w:cs="Arial"/>
                <w:sz w:val="24"/>
              </w:rPr>
            </w:pPr>
            <w:r>
              <w:rPr>
                <w:rFonts w:cs="Arial" w:ascii="Arial" w:hAnsi="Arial"/>
                <w:b/>
                <w:sz w:val="24"/>
              </w:rPr>
              <w:t>To:</w:t>
            </w:r>
          </w:p>
        </w:tc>
        <w:tc>
          <w:tcPr>
            <w:tcW w:w="7560" w:type="dxa"/>
            <w:tcBorders/>
          </w:tcPr>
          <w:p>
            <w:pPr>
              <w:pStyle w:val="To"/>
              <w:spacing w:before="60" w:after="60"/>
              <w:rPr>
                <w:rFonts w:ascii="Arial" w:hAnsi="Arial" w:cs="Arial"/>
                <w:sz w:val="24"/>
              </w:rPr>
            </w:pPr>
            <w:bookmarkStart w:id="0" w:name="To"/>
            <w:bookmarkEnd w:id="0"/>
            <w:r>
              <w:rPr>
                <w:rFonts w:cs="Arial" w:ascii="Arial" w:hAnsi="Arial"/>
                <w:sz w:val="24"/>
              </w:rPr>
              <w:t>Joe Kishkill</w:t>
            </w:r>
          </w:p>
        </w:tc>
      </w:tr>
      <w:tr>
        <w:trPr/>
        <w:tc>
          <w:tcPr>
            <w:tcW w:w="1188" w:type="dxa"/>
            <w:tcBorders/>
          </w:tcPr>
          <w:p>
            <w:pPr>
              <w:pStyle w:val="Normal"/>
              <w:rPr>
                <w:rFonts w:ascii="Arial" w:hAnsi="Arial" w:cs="Arial"/>
                <w:sz w:val="24"/>
              </w:rPr>
            </w:pPr>
            <w:r>
              <w:rPr>
                <w:rFonts w:cs="Arial" w:ascii="Arial" w:hAnsi="Arial"/>
                <w:b/>
                <w:sz w:val="24"/>
              </w:rPr>
              <w:t>From:</w:t>
            </w:r>
          </w:p>
        </w:tc>
        <w:tc>
          <w:tcPr>
            <w:tcW w:w="7560" w:type="dxa"/>
            <w:tcBorders/>
          </w:tcPr>
          <w:p>
            <w:pPr>
              <w:pStyle w:val="From"/>
              <w:spacing w:before="60" w:after="60"/>
              <w:rPr>
                <w:rFonts w:ascii="Arial" w:hAnsi="Arial" w:cs="Arial"/>
                <w:sz w:val="24"/>
              </w:rPr>
            </w:pPr>
            <w:bookmarkStart w:id="1" w:name="From"/>
            <w:bookmarkEnd w:id="1"/>
            <w:r>
              <w:rPr>
                <w:rFonts w:cs="Arial" w:ascii="Arial" w:hAnsi="Arial"/>
                <w:sz w:val="24"/>
              </w:rPr>
              <w:t>Rob Gay</w:t>
            </w:r>
          </w:p>
        </w:tc>
      </w:tr>
      <w:tr>
        <w:trPr/>
        <w:tc>
          <w:tcPr>
            <w:tcW w:w="1188" w:type="dxa"/>
            <w:tcBorders/>
          </w:tcPr>
          <w:p>
            <w:pPr>
              <w:pStyle w:val="Normal"/>
              <w:rPr>
                <w:rFonts w:ascii="Arial" w:hAnsi="Arial" w:cs="Arial"/>
                <w:sz w:val="24"/>
              </w:rPr>
            </w:pPr>
            <w:r>
              <w:rPr>
                <w:rFonts w:cs="Arial" w:ascii="Arial" w:hAnsi="Arial"/>
                <w:b/>
                <w:sz w:val="24"/>
              </w:rPr>
              <w:t>Date:</w:t>
            </w:r>
          </w:p>
        </w:tc>
        <w:tc>
          <w:tcPr>
            <w:tcW w:w="7560" w:type="dxa"/>
            <w:tcBorders/>
          </w:tcPr>
          <w:p>
            <w:pPr>
              <w:pStyle w:val="Date"/>
              <w:spacing w:before="60" w:after="60"/>
              <w:rPr>
                <w:rFonts w:ascii="Arial" w:hAnsi="Arial" w:cs="Arial"/>
                <w:sz w:val="24"/>
              </w:rPr>
            </w:pPr>
            <w:r>
              <w:rPr>
                <w:rFonts w:cs="Arial" w:ascii="Arial" w:hAnsi="Arial"/>
                <w:sz w:val="24"/>
              </w:rPr>
              <w:t>Nov 27, 2000</w:t>
            </w:r>
          </w:p>
        </w:tc>
      </w:tr>
      <w:tr>
        <w:trPr/>
        <w:tc>
          <w:tcPr>
            <w:tcW w:w="1188" w:type="dxa"/>
            <w:tcBorders>
              <w:bottom w:val="single" w:sz="18" w:space="0" w:color="000000"/>
            </w:tcBorders>
          </w:tcPr>
          <w:p>
            <w:pPr>
              <w:pStyle w:val="Normal"/>
              <w:rPr>
                <w:rFonts w:ascii="Arial" w:hAnsi="Arial" w:cs="Arial"/>
                <w:sz w:val="24"/>
              </w:rPr>
            </w:pPr>
            <w:r>
              <w:rPr>
                <w:rFonts w:cs="Arial" w:ascii="Arial" w:hAnsi="Arial"/>
                <w:b/>
                <w:sz w:val="24"/>
              </w:rPr>
              <w:t>Subject:</w:t>
            </w:r>
          </w:p>
        </w:tc>
        <w:tc>
          <w:tcPr>
            <w:tcW w:w="7560" w:type="dxa"/>
            <w:tcBorders>
              <w:bottom w:val="single" w:sz="18" w:space="0" w:color="000000"/>
            </w:tcBorders>
          </w:tcPr>
          <w:p>
            <w:pPr>
              <w:pStyle w:val="Subject"/>
              <w:spacing w:before="60" w:after="60"/>
              <w:rPr>
                <w:rFonts w:ascii="Arial" w:hAnsi="Arial" w:cs="Arial"/>
                <w:sz w:val="24"/>
              </w:rPr>
            </w:pPr>
            <w:bookmarkStart w:id="2" w:name="tSubject"/>
            <w:bookmarkStart w:id="3" w:name="Subject"/>
            <w:bookmarkEnd w:id="2"/>
            <w:bookmarkEnd w:id="3"/>
            <w:r>
              <w:rPr>
                <w:rFonts w:cs="Arial" w:ascii="Arial" w:hAnsi="Arial"/>
                <w:sz w:val="24"/>
              </w:rPr>
              <w:t>2000 Performance</w:t>
            </w:r>
          </w:p>
        </w:tc>
      </w:tr>
    </w:tbl>
    <w:p>
      <w:pPr>
        <w:pStyle w:val="Normal"/>
        <w:rPr>
          <w:rFonts w:ascii="Arial" w:hAnsi="Arial" w:cs="Arial"/>
          <w:sz w:val="24"/>
        </w:rPr>
      </w:pPr>
      <w:r>
        <w:rPr>
          <w:rFonts w:cs="Arial" w:ascii="Arial" w:hAnsi="Arial"/>
          <w:sz w:val="24"/>
        </w:rPr>
      </w:r>
      <w:bookmarkStart w:id="4" w:name="StartOfMemo"/>
      <w:bookmarkStart w:id="5" w:name="StartOfMemo"/>
      <w:bookmarkEnd w:id="5"/>
    </w:p>
    <w:p>
      <w:pPr>
        <w:pStyle w:val="Normal"/>
        <w:rPr>
          <w:rFonts w:ascii="Arial" w:hAnsi="Arial" w:cs="Arial"/>
          <w:sz w:val="24"/>
        </w:rPr>
      </w:pPr>
      <w:r>
        <w:rPr>
          <w:rFonts w:cs="Arial" w:ascii="Arial" w:hAnsi="Arial"/>
          <w:sz w:val="24"/>
        </w:rPr>
      </w:r>
    </w:p>
    <w:p>
      <w:pPr>
        <w:pStyle w:val="Heading2"/>
        <w:ind w:hanging="0" w:start="0"/>
        <w:rPr/>
      </w:pPr>
      <w:r>
        <w:rPr/>
        <w:t>Scorecard</w:t>
      </w:r>
    </w:p>
    <w:p>
      <w:pPr>
        <w:pStyle w:val="Normal"/>
        <w:tabs>
          <w:tab w:val="clear" w:pos="720"/>
          <w:tab w:val="left" w:pos="4320" w:leader="none"/>
        </w:tabs>
        <w:rPr>
          <w:b/>
          <w:sz w:val="24"/>
          <w:u w:val="single"/>
        </w:rPr>
      </w:pPr>
      <w:r>
        <w:rPr>
          <w:b/>
          <w:sz w:val="24"/>
          <w:u w:val="single"/>
        </w:rPr>
      </w:r>
    </w:p>
    <w:p>
      <w:pPr>
        <w:pStyle w:val="Heading3"/>
        <w:tabs>
          <w:tab w:val="clear" w:pos="720"/>
          <w:tab w:val="left" w:pos="4320" w:leader="none"/>
        </w:tabs>
        <w:ind w:hanging="0" w:start="0"/>
        <w:rPr/>
      </w:pPr>
      <w:r>
        <w:rPr/>
        <w:t>Cuiaba I</w:t>
        <w:tab/>
        <w:t>Super-human</w:t>
      </w:r>
    </w:p>
    <w:p>
      <w:pPr>
        <w:pStyle w:val="Heading3"/>
        <w:tabs>
          <w:tab w:val="clear" w:pos="720"/>
          <w:tab w:val="left" w:pos="4320" w:leader="none"/>
        </w:tabs>
        <w:ind w:hanging="0" w:start="0"/>
        <w:rPr/>
      </w:pPr>
      <w:r>
        <w:rPr/>
        <w:t>RioGen</w:t>
        <w:tab/>
        <w:t>Exemplary</w:t>
      </w:r>
    </w:p>
    <w:p>
      <w:pPr>
        <w:pStyle w:val="Normal"/>
        <w:tabs>
          <w:tab w:val="clear" w:pos="720"/>
          <w:tab w:val="left" w:pos="4320" w:leader="none"/>
        </w:tabs>
        <w:rPr>
          <w:sz w:val="24"/>
        </w:rPr>
      </w:pPr>
      <w:r>
        <w:rPr>
          <w:sz w:val="24"/>
        </w:rPr>
        <w:t>PQPC Merchant</w:t>
        <w:tab/>
        <w:t>Beautifully Structured &amp; Negotiated</w:t>
      </w:r>
    </w:p>
    <w:p>
      <w:pPr>
        <w:pStyle w:val="Heading3"/>
        <w:tabs>
          <w:tab w:val="clear" w:pos="720"/>
          <w:tab w:val="left" w:pos="4320" w:leader="none"/>
        </w:tabs>
        <w:ind w:hanging="0" w:start="0"/>
        <w:rPr/>
      </w:pPr>
      <w:r>
        <w:rPr/>
        <w:t>ESA intermediary with Corp</w:t>
        <w:tab/>
        <w:t>Fair/Fair –</w:t>
      </w:r>
    </w:p>
    <w:p>
      <w:pPr>
        <w:pStyle w:val="Subject"/>
        <w:tabs>
          <w:tab w:val="clear" w:pos="720"/>
          <w:tab w:val="left" w:pos="4320" w:leader="none"/>
        </w:tabs>
        <w:spacing w:before="0" w:after="0"/>
        <w:rPr>
          <w:sz w:val="24"/>
          <w:lang w:eastAsia="en-CA"/>
        </w:rPr>
      </w:pPr>
      <w:r>
        <w:rPr>
          <w:sz w:val="24"/>
          <w:lang w:eastAsia="en-CA"/>
        </w:rPr>
        <w:t>Managing People</w:t>
        <w:tab/>
        <w:t>C-</w:t>
      </w:r>
    </w:p>
    <w:p>
      <w:pPr>
        <w:pStyle w:val="Subject"/>
        <w:tabs>
          <w:tab w:val="clear" w:pos="720"/>
          <w:tab w:val="left" w:pos="4320" w:leader="none"/>
        </w:tabs>
        <w:spacing w:before="0" w:after="0"/>
        <w:rPr>
          <w:sz w:val="24"/>
          <w:lang w:eastAsia="en-CA"/>
        </w:rPr>
      </w:pPr>
      <w:r>
        <w:rPr>
          <w:sz w:val="24"/>
          <w:lang w:eastAsia="en-CA"/>
        </w:rPr>
        <w:t>Staffing to meet region’s needs</w:t>
        <w:tab/>
        <w:t>A-/B+</w:t>
        <w:tab/>
        <w:tab/>
      </w:r>
    </w:p>
    <w:p>
      <w:pPr>
        <w:pStyle w:val="Normal"/>
        <w:tabs>
          <w:tab w:val="clear" w:pos="720"/>
          <w:tab w:val="left" w:pos="4320" w:leader="none"/>
        </w:tabs>
        <w:rPr>
          <w:sz w:val="24"/>
          <w:lang w:eastAsia="en-CA"/>
        </w:rPr>
      </w:pPr>
      <w:r>
        <w:rPr>
          <w:sz w:val="24"/>
          <w:lang w:eastAsia="en-CA"/>
        </w:rPr>
      </w:r>
    </w:p>
    <w:p>
      <w:pPr>
        <w:pStyle w:val="Normal"/>
        <w:rPr>
          <w:b/>
          <w:sz w:val="24"/>
          <w:u w:val="single"/>
        </w:rPr>
      </w:pPr>
      <w:r>
        <w:rPr>
          <w:b/>
          <w:sz w:val="24"/>
          <w:u w:val="single"/>
        </w:rPr>
        <w:t>Things I worked on in 2000.</w:t>
      </w:r>
    </w:p>
    <w:p>
      <w:pPr>
        <w:pStyle w:val="Normal"/>
        <w:rPr>
          <w:b/>
          <w:sz w:val="24"/>
          <w:u w:val="single"/>
        </w:rPr>
      </w:pPr>
      <w:r>
        <w:rPr>
          <w:b/>
          <w:sz w:val="24"/>
          <w:u w:val="single"/>
        </w:rPr>
      </w:r>
    </w:p>
    <w:p>
      <w:pPr>
        <w:pStyle w:val="Normal"/>
        <w:rPr>
          <w:sz w:val="24"/>
        </w:rPr>
      </w:pPr>
      <w:r>
        <w:rPr>
          <w:sz w:val="24"/>
        </w:rPr>
        <w:t>Cuiaba I (see Challenges met and managed below)</w:t>
      </w:r>
    </w:p>
    <w:p>
      <w:pPr>
        <w:pStyle w:val="Normal"/>
        <w:rPr>
          <w:sz w:val="24"/>
        </w:rPr>
      </w:pPr>
      <w:r>
        <w:rPr>
          <w:sz w:val="24"/>
        </w:rPr>
        <w:t>Cuiaba II</w:t>
      </w:r>
    </w:p>
    <w:p>
      <w:pPr>
        <w:pStyle w:val="Normal"/>
        <w:rPr>
          <w:sz w:val="24"/>
        </w:rPr>
      </w:pPr>
      <w:r>
        <w:rPr>
          <w:sz w:val="24"/>
        </w:rPr>
        <w:t>Puerto Suarez</w:t>
      </w:r>
    </w:p>
    <w:p>
      <w:pPr>
        <w:pStyle w:val="Normal"/>
        <w:rPr>
          <w:sz w:val="24"/>
        </w:rPr>
      </w:pPr>
      <w:r>
        <w:rPr>
          <w:sz w:val="24"/>
        </w:rPr>
        <w:t>RioGen</w:t>
      </w:r>
    </w:p>
    <w:p>
      <w:pPr>
        <w:pStyle w:val="Normal"/>
        <w:rPr>
          <w:sz w:val="24"/>
        </w:rPr>
      </w:pPr>
      <w:r>
        <w:rPr>
          <w:sz w:val="24"/>
        </w:rPr>
        <w:t>Elektrobolt</w:t>
      </w:r>
    </w:p>
    <w:p>
      <w:pPr>
        <w:pStyle w:val="Normal"/>
        <w:rPr>
          <w:sz w:val="24"/>
        </w:rPr>
      </w:pPr>
      <w:r>
        <w:rPr>
          <w:sz w:val="24"/>
        </w:rPr>
        <w:t>Bom Retiro</w:t>
      </w:r>
    </w:p>
    <w:p>
      <w:pPr>
        <w:pStyle w:val="Normal"/>
        <w:rPr>
          <w:sz w:val="24"/>
        </w:rPr>
      </w:pPr>
      <w:r>
        <w:rPr>
          <w:sz w:val="24"/>
        </w:rPr>
        <w:t>Camisea (Peru)</w:t>
      </w:r>
    </w:p>
    <w:p>
      <w:pPr>
        <w:pStyle w:val="Normal"/>
        <w:rPr>
          <w:sz w:val="24"/>
        </w:rPr>
      </w:pPr>
      <w:r>
        <w:rPr>
          <w:sz w:val="24"/>
        </w:rPr>
        <w:t>Transredes $ 500MM Project Financing</w:t>
      </w:r>
    </w:p>
    <w:p>
      <w:pPr>
        <w:pStyle w:val="Normal"/>
        <w:rPr>
          <w:sz w:val="24"/>
        </w:rPr>
      </w:pPr>
      <w:r>
        <w:rPr>
          <w:sz w:val="24"/>
        </w:rPr>
        <w:t>Transredes bailout</w:t>
      </w:r>
    </w:p>
    <w:p>
      <w:pPr>
        <w:pStyle w:val="Normal"/>
        <w:rPr>
          <w:sz w:val="24"/>
        </w:rPr>
      </w:pPr>
      <w:r>
        <w:rPr>
          <w:sz w:val="24"/>
        </w:rPr>
        <w:t>Transredes Buyout</w:t>
      </w:r>
    </w:p>
    <w:p>
      <w:pPr>
        <w:pStyle w:val="Normal"/>
        <w:rPr>
          <w:sz w:val="24"/>
        </w:rPr>
      </w:pPr>
      <w:r>
        <w:rPr>
          <w:sz w:val="24"/>
        </w:rPr>
        <w:t>West LB CAA</w:t>
      </w:r>
    </w:p>
    <w:p>
      <w:pPr>
        <w:pStyle w:val="Normal"/>
        <w:rPr>
          <w:sz w:val="24"/>
        </w:rPr>
      </w:pPr>
      <w:r>
        <w:rPr>
          <w:sz w:val="24"/>
        </w:rPr>
        <w:t>BCI Tax Deal</w:t>
      </w:r>
    </w:p>
    <w:p>
      <w:pPr>
        <w:pStyle w:val="Normal"/>
        <w:rPr>
          <w:sz w:val="24"/>
        </w:rPr>
      </w:pPr>
      <w:r>
        <w:rPr>
          <w:sz w:val="24"/>
        </w:rPr>
      </w:r>
    </w:p>
    <w:p>
      <w:pPr>
        <w:pStyle w:val="Heading1"/>
        <w:ind w:hanging="0" w:start="0"/>
        <w:rPr/>
      </w:pPr>
      <w:r>
        <w:rPr/>
        <w:t>Prepays</w:t>
      </w:r>
    </w:p>
    <w:p>
      <w:pPr>
        <w:pStyle w:val="Normal"/>
        <w:rPr>
          <w:sz w:val="24"/>
        </w:rPr>
      </w:pPr>
      <w:r>
        <w:rPr>
          <w:sz w:val="24"/>
        </w:rPr>
        <w:t>Brazil Merchant Energy Fund</w:t>
      </w:r>
    </w:p>
    <w:p>
      <w:pPr>
        <w:pStyle w:val="Normal"/>
        <w:rPr>
          <w:sz w:val="24"/>
        </w:rPr>
      </w:pPr>
      <w:r>
        <w:rPr>
          <w:sz w:val="24"/>
        </w:rPr>
        <w:t>Grupo Rede (Rosal)</w:t>
      </w:r>
    </w:p>
    <w:p>
      <w:pPr>
        <w:pStyle w:val="Normal"/>
        <w:rPr>
          <w:sz w:val="24"/>
        </w:rPr>
      </w:pPr>
      <w:r>
        <w:rPr>
          <w:sz w:val="24"/>
        </w:rPr>
        <w:t>Riocell(Klabine)</w:t>
      </w:r>
    </w:p>
    <w:p>
      <w:pPr>
        <w:pStyle w:val="Normal"/>
        <w:rPr>
          <w:sz w:val="24"/>
        </w:rPr>
      </w:pPr>
      <w:r>
        <w:rPr>
          <w:sz w:val="24"/>
        </w:rPr>
        <w:t>Calypso</w:t>
      </w:r>
    </w:p>
    <w:p>
      <w:pPr>
        <w:pStyle w:val="Normal"/>
        <w:rPr>
          <w:sz w:val="24"/>
        </w:rPr>
      </w:pPr>
      <w:r>
        <w:rPr>
          <w:sz w:val="24"/>
        </w:rPr>
        <w:t>Dona Francesca</w:t>
      </w:r>
    </w:p>
    <w:p>
      <w:pPr>
        <w:pStyle w:val="Normal"/>
        <w:rPr>
          <w:sz w:val="24"/>
        </w:rPr>
      </w:pPr>
      <w:r>
        <w:rPr>
          <w:sz w:val="24"/>
        </w:rPr>
      </w:r>
    </w:p>
    <w:p>
      <w:pPr>
        <w:pStyle w:val="Normal"/>
        <w:rPr>
          <w:sz w:val="24"/>
        </w:rPr>
      </w:pPr>
      <w:r>
        <w:rPr>
          <w:sz w:val="24"/>
        </w:rPr>
        <w:t xml:space="preserve"> </w:t>
      </w:r>
    </w:p>
    <w:p>
      <w:pPr>
        <w:pStyle w:val="Normal"/>
        <w:rPr>
          <w:sz w:val="24"/>
        </w:rPr>
      </w:pPr>
      <w:r>
        <w:rPr>
          <w:b/>
          <w:sz w:val="24"/>
          <w:u w:val="single"/>
        </w:rPr>
        <w:t>Cuiaba Successes &amp; Contributions</w:t>
      </w:r>
    </w:p>
    <w:p>
      <w:pPr>
        <w:pStyle w:val="Normal"/>
        <w:rPr>
          <w:sz w:val="24"/>
        </w:rPr>
      </w:pPr>
      <w:r>
        <w:rPr>
          <w:sz w:val="24"/>
        </w:rPr>
      </w:r>
    </w:p>
    <w:p>
      <w:pPr>
        <w:pStyle w:val="Normal"/>
        <w:rPr>
          <w:sz w:val="24"/>
        </w:rPr>
      </w:pPr>
      <w:r>
        <w:rPr>
          <w:sz w:val="24"/>
        </w:rPr>
        <w:t>Developed intricate series of specific sponsor guarantees and indemnities all of which fall away once certain items are accomplished and all of which are off balance sheet and non-disclosable.</w:t>
      </w:r>
    </w:p>
    <w:p>
      <w:pPr>
        <w:pStyle w:val="Normal"/>
        <w:rPr>
          <w:sz w:val="24"/>
        </w:rPr>
      </w:pPr>
      <w:r>
        <w:rPr>
          <w:sz w:val="24"/>
        </w:rPr>
      </w:r>
    </w:p>
    <w:p>
      <w:pPr>
        <w:pStyle w:val="Normal"/>
        <w:rPr>
          <w:sz w:val="24"/>
        </w:rPr>
      </w:pPr>
      <w:r>
        <w:rPr>
          <w:sz w:val="24"/>
        </w:rPr>
        <w:t>Developed innovative new funding approach for the $200MM OPIC guaranteed tranche which gives Enron the option to arbitrage the rates on agency paper versus swap rates on UST’s. Obtained $200MM underwriting commitment from Citibank for new approach which could also save Enron 2-4 weeks time in funding.</w:t>
      </w:r>
    </w:p>
    <w:p>
      <w:pPr>
        <w:pStyle w:val="Normal"/>
        <w:rPr>
          <w:sz w:val="24"/>
        </w:rPr>
      </w:pPr>
      <w:r>
        <w:rPr>
          <w:sz w:val="24"/>
        </w:rPr>
      </w:r>
    </w:p>
    <w:p>
      <w:pPr>
        <w:pStyle w:val="Normal"/>
        <w:rPr>
          <w:sz w:val="24"/>
        </w:rPr>
      </w:pPr>
      <w:r>
        <w:rPr>
          <w:sz w:val="24"/>
        </w:rPr>
        <w:t xml:space="preserve">Convinced Banks to allow equity last in boosting NPV &amp; IRR. </w:t>
      </w:r>
    </w:p>
    <w:p>
      <w:pPr>
        <w:pStyle w:val="Normal"/>
        <w:rPr>
          <w:sz w:val="24"/>
        </w:rPr>
      </w:pPr>
      <w:r>
        <w:rPr>
          <w:sz w:val="24"/>
        </w:rPr>
      </w:r>
    </w:p>
    <w:p>
      <w:pPr>
        <w:pStyle w:val="Normal"/>
        <w:rPr>
          <w:sz w:val="24"/>
        </w:rPr>
      </w:pPr>
      <w:r>
        <w:rPr>
          <w:sz w:val="24"/>
        </w:rPr>
        <w:t>Provided strong leadership to team and lenders to focus on issues, resolve them and position us for closing.  Held people accountable. Managed relationships with style and class.  Restored credibility with lenders and worked magic on a number of issues.</w:t>
      </w:r>
    </w:p>
    <w:p>
      <w:pPr>
        <w:pStyle w:val="Normal"/>
        <w:rPr>
          <w:sz w:val="24"/>
        </w:rPr>
      </w:pPr>
      <w:r>
        <w:rPr>
          <w:sz w:val="24"/>
        </w:rPr>
      </w:r>
    </w:p>
    <w:p>
      <w:pPr>
        <w:pStyle w:val="Heading2"/>
        <w:ind w:hanging="0" w:start="0"/>
        <w:rPr/>
      </w:pPr>
      <w:r>
        <w:rPr/>
        <w:t>Specific Challenges met and managed on Cuiaba I</w:t>
      </w:r>
    </w:p>
    <w:p>
      <w:pPr>
        <w:pStyle w:val="Normal"/>
        <w:rPr>
          <w:sz w:val="24"/>
        </w:rPr>
      </w:pPr>
      <w:r>
        <w:rPr>
          <w:sz w:val="24"/>
        </w:rPr>
      </w:r>
    </w:p>
    <w:p>
      <w:pPr>
        <w:pStyle w:val="Normal"/>
        <w:numPr>
          <w:ilvl w:val="0"/>
          <w:numId w:val="2"/>
        </w:numPr>
        <w:rPr>
          <w:sz w:val="24"/>
        </w:rPr>
      </w:pPr>
      <w:r>
        <w:rPr>
          <w:sz w:val="24"/>
        </w:rPr>
        <w:t>Technology problems – tiles cracking</w:t>
      </w:r>
    </w:p>
    <w:p>
      <w:pPr>
        <w:pStyle w:val="Normal"/>
        <w:tabs>
          <w:tab w:val="clear" w:pos="720"/>
          <w:tab w:val="left" w:pos="540" w:leader="none"/>
        </w:tabs>
        <w:rPr>
          <w:sz w:val="24"/>
        </w:rPr>
      </w:pPr>
      <w:r>
        <w:rPr>
          <w:sz w:val="24"/>
        </w:rPr>
      </w:r>
    </w:p>
    <w:p>
      <w:pPr>
        <w:pStyle w:val="Normal"/>
        <w:numPr>
          <w:ilvl w:val="0"/>
          <w:numId w:val="2"/>
        </w:numPr>
        <w:tabs>
          <w:tab w:val="clear" w:pos="720"/>
          <w:tab w:val="left" w:pos="540" w:leader="none"/>
        </w:tabs>
        <w:rPr>
          <w:sz w:val="24"/>
        </w:rPr>
      </w:pPr>
      <w:r>
        <w:rPr>
          <w:sz w:val="24"/>
        </w:rPr>
        <w:t>2 outstanding F/M’s from Government intervention</w:t>
      </w:r>
    </w:p>
    <w:p>
      <w:pPr>
        <w:pStyle w:val="Normal"/>
        <w:ind w:firstLine="540" w:end="0"/>
        <w:rPr>
          <w:sz w:val="24"/>
        </w:rPr>
      </w:pPr>
      <w:r>
        <w:rPr>
          <w:sz w:val="24"/>
        </w:rPr>
        <w:t>- 50 Km zone – Bolivia</w:t>
      </w:r>
    </w:p>
    <w:p>
      <w:pPr>
        <w:pStyle w:val="Normal"/>
        <w:tabs>
          <w:tab w:val="clear" w:pos="720"/>
          <w:tab w:val="left" w:pos="540" w:leader="none"/>
          <w:tab w:val="left" w:pos="2520" w:leader="none"/>
        </w:tabs>
        <w:rPr>
          <w:sz w:val="24"/>
        </w:rPr>
      </w:pPr>
      <w:r>
        <w:rPr>
          <w:sz w:val="24"/>
        </w:rPr>
        <w:tab/>
        <w:t>- “The Ridges” in Brazil</w:t>
      </w:r>
    </w:p>
    <w:p>
      <w:pPr>
        <w:pStyle w:val="Normal"/>
        <w:tabs>
          <w:tab w:val="clear" w:pos="720"/>
          <w:tab w:val="left" w:pos="540" w:leader="none"/>
        </w:tabs>
        <w:rPr>
          <w:sz w:val="24"/>
        </w:rPr>
      </w:pPr>
      <w:r>
        <w:rPr>
          <w:sz w:val="24"/>
        </w:rPr>
        <w:tab/>
        <w:t>[Failed to preserve potential compensation due to failure to give notice]</w:t>
      </w:r>
    </w:p>
    <w:p>
      <w:pPr>
        <w:pStyle w:val="Normal"/>
        <w:tabs>
          <w:tab w:val="clear" w:pos="720"/>
          <w:tab w:val="left" w:pos="540" w:leader="none"/>
          <w:tab w:val="left" w:pos="2520" w:leader="none"/>
        </w:tabs>
        <w:rPr>
          <w:sz w:val="24"/>
        </w:rPr>
      </w:pPr>
      <w:r>
        <w:rPr>
          <w:sz w:val="24"/>
        </w:rPr>
      </w:r>
    </w:p>
    <w:p>
      <w:pPr>
        <w:pStyle w:val="Normal"/>
        <w:numPr>
          <w:ilvl w:val="0"/>
          <w:numId w:val="2"/>
        </w:numPr>
        <w:rPr>
          <w:sz w:val="24"/>
        </w:rPr>
      </w:pPr>
      <w:r>
        <w:rPr>
          <w:sz w:val="24"/>
        </w:rPr>
        <w:t>For some time it was impossible to determine how much the project would be paid (for capacity and the amount of fuel and fuel transportation reimbursement) due to an inability to determine if the project was in Phase I (150 MW on oil) or II (300 MW on gas). We were 300 MW on oil.</w:t>
      </w:r>
    </w:p>
    <w:p>
      <w:pPr>
        <w:pStyle w:val="Normal"/>
        <w:tabs>
          <w:tab w:val="clear" w:pos="720"/>
          <w:tab w:val="left" w:pos="540" w:leader="none"/>
        </w:tabs>
        <w:rPr>
          <w:sz w:val="24"/>
        </w:rPr>
      </w:pPr>
      <w:r>
        <w:rPr>
          <w:sz w:val="24"/>
        </w:rPr>
      </w:r>
    </w:p>
    <w:p>
      <w:pPr>
        <w:pStyle w:val="Normal"/>
        <w:numPr>
          <w:ilvl w:val="0"/>
          <w:numId w:val="2"/>
        </w:numPr>
        <w:rPr>
          <w:sz w:val="24"/>
        </w:rPr>
      </w:pPr>
      <w:r>
        <w:rPr>
          <w:sz w:val="24"/>
        </w:rPr>
        <w:t>Developer wanted to declare 3</w:t>
      </w:r>
      <w:r>
        <w:rPr>
          <w:sz w:val="24"/>
          <w:vertAlign w:val="superscript"/>
        </w:rPr>
        <w:t>rd</w:t>
      </w:r>
      <w:r>
        <w:rPr>
          <w:sz w:val="24"/>
        </w:rPr>
        <w:t xml:space="preserve"> F/M to Furnas</w:t>
      </w:r>
    </w:p>
    <w:p>
      <w:pPr>
        <w:pStyle w:val="Normal"/>
        <w:ind w:start="540" w:end="0"/>
        <w:rPr>
          <w:sz w:val="24"/>
        </w:rPr>
      </w:pPr>
      <w:r>
        <w:rPr>
          <w:sz w:val="24"/>
        </w:rPr>
        <w:t>Could not handle grid for 300 MW but never dispatched</w:t>
      </w:r>
    </w:p>
    <w:p>
      <w:pPr>
        <w:pStyle w:val="Normal"/>
        <w:rPr>
          <w:sz w:val="24"/>
        </w:rPr>
      </w:pPr>
      <w:r>
        <w:rPr>
          <w:sz w:val="24"/>
        </w:rPr>
      </w:r>
    </w:p>
    <w:p>
      <w:pPr>
        <w:pStyle w:val="Normal"/>
        <w:numPr>
          <w:ilvl w:val="0"/>
          <w:numId w:val="2"/>
        </w:numPr>
        <w:rPr>
          <w:sz w:val="24"/>
        </w:rPr>
      </w:pPr>
      <w:r>
        <w:rPr>
          <w:sz w:val="24"/>
        </w:rPr>
        <w:t>Operating losses caused by expiration of CCC (fuel oil subsidy) on 1</w:t>
      </w:r>
      <w:r>
        <w:rPr>
          <w:sz w:val="24"/>
          <w:vertAlign w:val="superscript"/>
        </w:rPr>
        <w:t>st</w:t>
      </w:r>
      <w:r>
        <w:rPr>
          <w:sz w:val="24"/>
        </w:rPr>
        <w:t xml:space="preserve"> 150 MW. Eventually obtained extension.</w:t>
      </w:r>
    </w:p>
    <w:p>
      <w:pPr>
        <w:pStyle w:val="Normal"/>
        <w:rPr>
          <w:sz w:val="24"/>
        </w:rPr>
      </w:pPr>
      <w:r>
        <w:rPr>
          <w:sz w:val="24"/>
        </w:rPr>
      </w:r>
    </w:p>
    <w:p>
      <w:pPr>
        <w:pStyle w:val="Normal"/>
        <w:numPr>
          <w:ilvl w:val="0"/>
          <w:numId w:val="2"/>
        </w:numPr>
        <w:rPr>
          <w:sz w:val="24"/>
        </w:rPr>
      </w:pPr>
      <w:r>
        <w:rPr>
          <w:sz w:val="24"/>
        </w:rPr>
        <w:t>YABOG Assignment – Originally developers wanted to terminate Transredes Transport Contract, but we convinced them that was a bad idea.  As a result they resolved the problem by assigning the capacity to YPF.</w:t>
      </w:r>
    </w:p>
    <w:p>
      <w:pPr>
        <w:pStyle w:val="Normal"/>
        <w:rPr>
          <w:sz w:val="24"/>
        </w:rPr>
      </w:pPr>
      <w:r>
        <w:rPr>
          <w:sz w:val="24"/>
        </w:rPr>
      </w:r>
    </w:p>
    <w:p>
      <w:pPr>
        <w:pStyle w:val="Normal"/>
        <w:numPr>
          <w:ilvl w:val="0"/>
          <w:numId w:val="2"/>
        </w:numPr>
        <w:rPr>
          <w:sz w:val="24"/>
        </w:rPr>
      </w:pPr>
      <w:r>
        <w:rPr>
          <w:sz w:val="24"/>
        </w:rPr>
        <w:t>SUNAM – requires conv. to SA and refilling all documents</w:t>
      </w:r>
    </w:p>
    <w:p>
      <w:pPr>
        <w:pStyle w:val="Normal"/>
        <w:rPr>
          <w:sz w:val="24"/>
        </w:rPr>
      </w:pPr>
      <w:r>
        <w:rPr>
          <w:sz w:val="24"/>
        </w:rPr>
      </w:r>
    </w:p>
    <w:p>
      <w:pPr>
        <w:pStyle w:val="Normal"/>
        <w:numPr>
          <w:ilvl w:val="0"/>
          <w:numId w:val="2"/>
        </w:numPr>
        <w:rPr>
          <w:sz w:val="24"/>
        </w:rPr>
      </w:pPr>
      <w:r>
        <w:rPr>
          <w:sz w:val="24"/>
        </w:rPr>
        <w:t>Cost overruns &gt;150MM</w:t>
      </w:r>
    </w:p>
    <w:p>
      <w:pPr>
        <w:pStyle w:val="Normal"/>
        <w:rPr>
          <w:sz w:val="24"/>
        </w:rPr>
      </w:pPr>
      <w:r>
        <w:rPr>
          <w:sz w:val="24"/>
        </w:rPr>
      </w:r>
    </w:p>
    <w:p>
      <w:pPr>
        <w:pStyle w:val="Normal"/>
        <w:numPr>
          <w:ilvl w:val="0"/>
          <w:numId w:val="2"/>
        </w:numPr>
        <w:rPr>
          <w:sz w:val="24"/>
        </w:rPr>
      </w:pPr>
      <w:r>
        <w:rPr>
          <w:sz w:val="24"/>
        </w:rPr>
        <w:t>O/S change orders of $30-40MM</w:t>
      </w:r>
    </w:p>
    <w:p>
      <w:pPr>
        <w:pStyle w:val="Normal"/>
        <w:rPr>
          <w:sz w:val="24"/>
        </w:rPr>
      </w:pPr>
      <w:r>
        <w:rPr>
          <w:sz w:val="24"/>
        </w:rPr>
      </w:r>
    </w:p>
    <w:p>
      <w:pPr>
        <w:pStyle w:val="Normal"/>
        <w:numPr>
          <w:ilvl w:val="0"/>
          <w:numId w:val="2"/>
        </w:numPr>
        <w:rPr>
          <w:sz w:val="24"/>
        </w:rPr>
      </w:pPr>
      <w:r>
        <w:rPr>
          <w:sz w:val="24"/>
        </w:rPr>
        <w:t>New change order $40-60MM – Sept. 00 progress report</w:t>
      </w:r>
    </w:p>
    <w:p>
      <w:pPr>
        <w:pStyle w:val="Normal"/>
        <w:rPr>
          <w:sz w:val="24"/>
        </w:rPr>
      </w:pPr>
      <w:r>
        <w:rPr>
          <w:sz w:val="24"/>
        </w:rPr>
      </w:r>
    </w:p>
    <w:p>
      <w:pPr>
        <w:pStyle w:val="Normal"/>
        <w:numPr>
          <w:ilvl w:val="0"/>
          <w:numId w:val="2"/>
        </w:numPr>
        <w:rPr>
          <w:sz w:val="24"/>
        </w:rPr>
      </w:pPr>
      <w:r>
        <w:rPr>
          <w:sz w:val="24"/>
        </w:rPr>
        <w:t>Adopted hybrid construction schedule – no contractual underpinning</w:t>
      </w:r>
    </w:p>
    <w:p>
      <w:pPr>
        <w:pStyle w:val="Normal"/>
        <w:rPr>
          <w:sz w:val="24"/>
        </w:rPr>
      </w:pPr>
      <w:r>
        <w:rPr>
          <w:sz w:val="24"/>
        </w:rPr>
      </w:r>
    </w:p>
    <w:p>
      <w:pPr>
        <w:pStyle w:val="Normal"/>
        <w:numPr>
          <w:ilvl w:val="0"/>
          <w:numId w:val="2"/>
        </w:numPr>
        <w:rPr>
          <w:sz w:val="24"/>
        </w:rPr>
      </w:pPr>
      <w:r>
        <w:rPr>
          <w:sz w:val="24"/>
        </w:rPr>
        <w:t>Split construction responsibility for ridges</w:t>
      </w:r>
    </w:p>
    <w:p>
      <w:pPr>
        <w:pStyle w:val="Normal"/>
        <w:rPr>
          <w:sz w:val="24"/>
        </w:rPr>
      </w:pPr>
      <w:r>
        <w:rPr>
          <w:sz w:val="24"/>
        </w:rPr>
      </w:r>
    </w:p>
    <w:p>
      <w:pPr>
        <w:pStyle w:val="Normal"/>
        <w:numPr>
          <w:ilvl w:val="0"/>
          <w:numId w:val="2"/>
        </w:numPr>
        <w:rPr>
          <w:sz w:val="24"/>
        </w:rPr>
      </w:pPr>
      <w:r>
        <w:rPr>
          <w:sz w:val="24"/>
        </w:rPr>
        <w:t>CB issues – inadequate authorization. Developed complicated non-disclosable sponsor indemnity.</w:t>
      </w:r>
    </w:p>
    <w:p>
      <w:pPr>
        <w:pStyle w:val="Normal"/>
        <w:rPr>
          <w:sz w:val="24"/>
        </w:rPr>
      </w:pPr>
      <w:r>
        <w:rPr>
          <w:sz w:val="24"/>
        </w:rPr>
      </w:r>
    </w:p>
    <w:p>
      <w:pPr>
        <w:pStyle w:val="Normal"/>
        <w:numPr>
          <w:ilvl w:val="0"/>
          <w:numId w:val="2"/>
        </w:numPr>
        <w:rPr>
          <w:sz w:val="24"/>
        </w:rPr>
      </w:pPr>
      <w:r>
        <w:rPr>
          <w:sz w:val="24"/>
        </w:rPr>
        <w:t>Gas contract not effective due to failure of YPF to receive transport license for Argentine gas and export license for Bolivian gas. Co-developed Back-up gas supply guarantee by Enron to fill void.</w:t>
      </w:r>
    </w:p>
    <w:p>
      <w:pPr>
        <w:pStyle w:val="Normal"/>
        <w:rPr>
          <w:sz w:val="24"/>
        </w:rPr>
      </w:pPr>
      <w:r>
        <w:rPr>
          <w:sz w:val="24"/>
        </w:rPr>
      </w:r>
    </w:p>
    <w:p>
      <w:pPr>
        <w:pStyle w:val="Normal"/>
        <w:numPr>
          <w:ilvl w:val="0"/>
          <w:numId w:val="2"/>
        </w:numPr>
        <w:rPr>
          <w:sz w:val="24"/>
        </w:rPr>
      </w:pPr>
      <w:r>
        <w:rPr>
          <w:sz w:val="24"/>
        </w:rPr>
        <w:t>Petrobras Consent</w:t>
      </w:r>
    </w:p>
    <w:p>
      <w:pPr>
        <w:pStyle w:val="Normal"/>
        <w:rPr>
          <w:sz w:val="24"/>
        </w:rPr>
      </w:pPr>
      <w:r>
        <w:rPr>
          <w:sz w:val="24"/>
        </w:rPr>
      </w:r>
    </w:p>
    <w:p>
      <w:pPr>
        <w:pStyle w:val="Normal"/>
        <w:numPr>
          <w:ilvl w:val="0"/>
          <w:numId w:val="2"/>
        </w:numPr>
        <w:rPr>
          <w:sz w:val="24"/>
        </w:rPr>
      </w:pPr>
      <w:r>
        <w:rPr>
          <w:sz w:val="24"/>
        </w:rPr>
        <w:t>Furnas/Eletrobras Consent</w:t>
      </w:r>
    </w:p>
    <w:p>
      <w:pPr>
        <w:pStyle w:val="Normal"/>
        <w:rPr>
          <w:sz w:val="24"/>
        </w:rPr>
      </w:pPr>
      <w:r>
        <w:rPr>
          <w:sz w:val="24"/>
        </w:rPr>
      </w:r>
    </w:p>
    <w:p>
      <w:pPr>
        <w:pStyle w:val="Normal"/>
        <w:numPr>
          <w:ilvl w:val="0"/>
          <w:numId w:val="2"/>
        </w:numPr>
        <w:rPr>
          <w:sz w:val="24"/>
        </w:rPr>
      </w:pPr>
      <w:r>
        <w:rPr>
          <w:sz w:val="24"/>
        </w:rPr>
        <w:t>31 defaults in CTA</w:t>
      </w:r>
    </w:p>
    <w:p>
      <w:pPr>
        <w:pStyle w:val="Normal"/>
        <w:rPr>
          <w:sz w:val="24"/>
        </w:rPr>
      </w:pPr>
      <w:r>
        <w:rPr>
          <w:sz w:val="24"/>
        </w:rPr>
      </w:r>
    </w:p>
    <w:p>
      <w:pPr>
        <w:pStyle w:val="Normal"/>
        <w:numPr>
          <w:ilvl w:val="0"/>
          <w:numId w:val="2"/>
        </w:numPr>
        <w:rPr>
          <w:sz w:val="24"/>
        </w:rPr>
      </w:pPr>
      <w:r>
        <w:rPr>
          <w:sz w:val="24"/>
        </w:rPr>
        <w:t>Transredes sale to Enron/Shell</w:t>
      </w:r>
    </w:p>
    <w:p>
      <w:pPr>
        <w:pStyle w:val="Normal"/>
        <w:rPr>
          <w:sz w:val="24"/>
        </w:rPr>
      </w:pPr>
      <w:r>
        <w:rPr>
          <w:sz w:val="24"/>
        </w:rPr>
      </w:r>
    </w:p>
    <w:p>
      <w:pPr>
        <w:pStyle w:val="Normal"/>
        <w:numPr>
          <w:ilvl w:val="0"/>
          <w:numId w:val="2"/>
        </w:numPr>
        <w:rPr>
          <w:sz w:val="24"/>
        </w:rPr>
      </w:pPr>
      <w:r>
        <w:rPr>
          <w:sz w:val="24"/>
        </w:rPr>
        <w:t>De-forestation violation in Bolivia</w:t>
      </w:r>
    </w:p>
    <w:p>
      <w:pPr>
        <w:pStyle w:val="Normal"/>
        <w:rPr>
          <w:sz w:val="24"/>
        </w:rPr>
      </w:pPr>
      <w:r>
        <w:rPr>
          <w:sz w:val="24"/>
        </w:rPr>
      </w:r>
    </w:p>
    <w:p>
      <w:pPr>
        <w:pStyle w:val="Normal"/>
        <w:numPr>
          <w:ilvl w:val="0"/>
          <w:numId w:val="2"/>
        </w:numPr>
        <w:rPr>
          <w:sz w:val="24"/>
        </w:rPr>
      </w:pPr>
      <w:r>
        <w:rPr>
          <w:sz w:val="24"/>
        </w:rPr>
        <w:t xml:space="preserve">Transmission/ONS problems including no access for commissioning </w:t>
      </w:r>
    </w:p>
    <w:p>
      <w:pPr>
        <w:pStyle w:val="Normal"/>
        <w:rPr>
          <w:sz w:val="24"/>
        </w:rPr>
      </w:pPr>
      <w:r>
        <w:rPr>
          <w:sz w:val="24"/>
        </w:rPr>
      </w:r>
    </w:p>
    <w:p>
      <w:pPr>
        <w:pStyle w:val="Normal"/>
        <w:numPr>
          <w:ilvl w:val="0"/>
          <w:numId w:val="2"/>
        </w:numPr>
        <w:rPr>
          <w:sz w:val="24"/>
        </w:rPr>
      </w:pPr>
      <w:r>
        <w:rPr>
          <w:sz w:val="24"/>
        </w:rPr>
        <w:t>NOT clear for Eletrobras guarantee of fuel oil/CCC issues</w:t>
      </w:r>
    </w:p>
    <w:p>
      <w:pPr>
        <w:pStyle w:val="Normal"/>
        <w:rPr>
          <w:sz w:val="24"/>
        </w:rPr>
      </w:pPr>
      <w:r>
        <w:rPr>
          <w:sz w:val="24"/>
        </w:rPr>
      </w:r>
    </w:p>
    <w:p>
      <w:pPr>
        <w:pStyle w:val="Normal"/>
        <w:numPr>
          <w:ilvl w:val="0"/>
          <w:numId w:val="2"/>
        </w:numPr>
        <w:rPr>
          <w:sz w:val="24"/>
        </w:rPr>
      </w:pPr>
      <w:r>
        <w:rPr>
          <w:sz w:val="24"/>
        </w:rPr>
        <w:t>Eletrobras repudiation of guarantee if  Furnas privatized</w:t>
      </w:r>
    </w:p>
    <w:p>
      <w:pPr>
        <w:pStyle w:val="Normal"/>
        <w:rPr>
          <w:sz w:val="24"/>
        </w:rPr>
      </w:pPr>
      <w:r>
        <w:rPr>
          <w:sz w:val="24"/>
        </w:rPr>
      </w:r>
    </w:p>
    <w:p>
      <w:pPr>
        <w:pStyle w:val="Normal"/>
        <w:numPr>
          <w:ilvl w:val="0"/>
          <w:numId w:val="2"/>
        </w:numPr>
        <w:rPr>
          <w:sz w:val="24"/>
        </w:rPr>
      </w:pPr>
      <w:r>
        <w:rPr>
          <w:sz w:val="24"/>
        </w:rPr>
        <w:t>Regulatory changes related to CCT and CUST wheeling contracts</w:t>
      </w:r>
    </w:p>
    <w:p>
      <w:pPr>
        <w:pStyle w:val="Normal"/>
        <w:rPr>
          <w:sz w:val="24"/>
        </w:rPr>
      </w:pPr>
      <w:r>
        <w:rPr>
          <w:sz w:val="24"/>
        </w:rPr>
      </w:r>
    </w:p>
    <w:p>
      <w:pPr>
        <w:pStyle w:val="Normal"/>
        <w:numPr>
          <w:ilvl w:val="0"/>
          <w:numId w:val="2"/>
        </w:numPr>
        <w:rPr>
          <w:sz w:val="24"/>
        </w:rPr>
      </w:pPr>
      <w:r>
        <w:rPr>
          <w:sz w:val="24"/>
        </w:rPr>
        <w:t>Worked through 4 additivos  with Furnas including the first test of the new mechanism for devaluation adjustment (economic equilibrium)</w:t>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
        </w:tabs>
        <w:ind w:start="540" w:hanging="540"/>
      </w:pPr>
      <w:r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u w:val="single"/>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2"/>
        <w:numId w:val="1"/>
      </w:numPr>
      <w:outlineLvl w:val="2"/>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spacing w:before="60" w:after="60"/>
    </w:pPr>
    <w:rPr>
      <w:lang w:eastAsia="en-US"/>
    </w:rPr>
  </w:style>
  <w:style w:type="paragraph" w:styleId="Date">
    <w:name w:val="Date"/>
    <w:basedOn w:val="Normal"/>
    <w:qFormat/>
    <w:pPr>
      <w:spacing w:before="60" w:after="60"/>
    </w:pPr>
    <w:rPr>
      <w:lang w:eastAsia="en-US"/>
    </w:rPr>
  </w:style>
  <w:style w:type="paragraph" w:styleId="To">
    <w:name w:val="To"/>
    <w:basedOn w:val="Normal"/>
    <w:qFormat/>
    <w:pPr>
      <w:spacing w:before="60" w:after="60"/>
    </w:pPr>
    <w:rPr>
      <w:lang w:eastAsia="en-US"/>
    </w:rPr>
  </w:style>
  <w:style w:type="paragraph" w:styleId="From">
    <w:name w:val="From"/>
    <w:basedOn w:val="Normal"/>
    <w:qFormat/>
    <w:pPr>
      <w:spacing w:before="60" w:after="60"/>
    </w:pPr>
    <w:rPr>
      <w:lang w:eastAsia="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2000-11-27T12:45:00Z</dcterms:created>
  <dc:creator>Enron Technology</dc:creator>
  <dc:description/>
  <dc:language>en-CA</dc:language>
  <cp:lastModifiedBy>Enron Technology</cp:lastModifiedBy>
  <cp:lastPrinted>2000-11-27T09:30:00Z</cp:lastPrinted>
  <dcterms:modified xsi:type="dcterms:W3CDTF">2000-11-27T18:03:00Z</dcterms:modified>
  <cp:revision>15</cp:revision>
  <dc:subject/>
  <dc:title>1</dc:title>
</cp:coreProperties>
</file>