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120"/>
        <w:jc w:val="center"/>
        <w:rPr/>
      </w:pPr>
      <w:r>
        <w:rPr/>
        <w:t>Profile</w:t>
      </w:r>
    </w:p>
    <w:p>
      <w:pPr>
        <w:pStyle w:val="BodyText"/>
        <w:spacing w:lineRule="auto" w:line="240"/>
        <w:jc w:val="both"/>
        <w:rPr>
          <w:rFonts w:ascii="Times New Roman" w:hAnsi="Times New Roman" w:cs="Times New Roman"/>
        </w:rPr>
      </w:pPr>
      <w:r>
        <w:rPr>
          <w:rFonts w:cs="Times New Roman" w:ascii="Times New Roman" w:hAnsi="Times New Roman"/>
        </w:rPr>
        <w:t>Thirteen years experience in state and federal public utility and energy policymaking and regulation.  Expertise in the economic and public policy issues of energy utility regulation.  Proven record of accomplishment of innovative solutions to policy, technology and business issues in network industries.  Areas of experience include:</w:t>
      </w:r>
    </w:p>
    <w:tbl>
      <w:tblPr>
        <w:tblW w:w="10980" w:type="dxa"/>
        <w:jc w:val="start"/>
        <w:tblInd w:w="18" w:type="dxa"/>
        <w:tblLayout w:type="fixed"/>
        <w:tblCellMar>
          <w:top w:w="0" w:type="dxa"/>
          <w:start w:w="108" w:type="dxa"/>
          <w:bottom w:w="0" w:type="dxa"/>
          <w:end w:w="108" w:type="dxa"/>
        </w:tblCellMar>
      </w:tblPr>
      <w:tblGrid>
        <w:gridCol w:w="5400"/>
        <w:gridCol w:w="5130"/>
        <w:gridCol w:w="90"/>
        <w:gridCol w:w="360"/>
      </w:tblGrid>
      <w:tr>
        <w:trPr/>
        <w:tc>
          <w:tcPr>
            <w:tcW w:w="5400" w:type="dxa"/>
            <w:tcBorders/>
          </w:tcPr>
          <w:p>
            <w:pPr>
              <w:pStyle w:val="BodyText"/>
              <w:numPr>
                <w:ilvl w:val="0"/>
                <w:numId w:val="3"/>
              </w:numPr>
              <w:spacing w:lineRule="auto" w:line="240" w:before="0" w:after="0"/>
              <w:jc w:val="both"/>
              <w:rPr>
                <w:rFonts w:ascii="Times New Roman" w:hAnsi="Times New Roman" w:cs="Times New Roman"/>
              </w:rPr>
            </w:pPr>
            <w:r>
              <w:rPr>
                <w:rFonts w:cs="Times New Roman" w:ascii="Times New Roman" w:hAnsi="Times New Roman"/>
              </w:rPr>
              <w:t xml:space="preserve">Restructuring wholesale power market </w:t>
            </w:r>
          </w:p>
        </w:tc>
        <w:tc>
          <w:tcPr>
            <w:tcW w:w="5220" w:type="dxa"/>
            <w:gridSpan w:val="2"/>
            <w:tcBorders/>
          </w:tcPr>
          <w:p>
            <w:pPr>
              <w:pStyle w:val="BodyText"/>
              <w:numPr>
                <w:ilvl w:val="0"/>
                <w:numId w:val="11"/>
              </w:numPr>
              <w:tabs>
                <w:tab w:val="clear" w:pos="720"/>
                <w:tab w:val="left" w:pos="432" w:leader="none"/>
              </w:tabs>
              <w:spacing w:lineRule="auto" w:line="240" w:before="0" w:after="0"/>
              <w:ind w:hanging="360" w:start="432" w:end="0"/>
              <w:jc w:val="both"/>
              <w:rPr>
                <w:rFonts w:ascii="Times New Roman" w:hAnsi="Times New Roman" w:cs="Times New Roman"/>
              </w:rPr>
            </w:pPr>
            <w:r>
              <w:rPr>
                <w:rFonts w:cs="Times New Roman" w:ascii="Times New Roman" w:hAnsi="Times New Roman"/>
              </w:rPr>
              <w:t>Retail electric competition</w:t>
            </w:r>
          </w:p>
        </w:tc>
        <w:tc>
          <w:tcPr>
            <w:tcW w:w="360" w:type="dxa"/>
            <w:tcBorders/>
            <w:tcMar>
              <w:start w:w="0" w:type="dxa"/>
              <w:end w:w="0" w:type="dxa"/>
            </w:tcMar>
          </w:tcPr>
          <w:p>
            <w:pPr>
              <w:pStyle w:val="Normal"/>
              <w:snapToGrid w:val="false"/>
              <w:rPr>
                <w:rFonts w:ascii="Times New Roman" w:hAnsi="Times New Roman" w:cs="Times New Roman"/>
                <w:sz w:val="22"/>
              </w:rPr>
            </w:pPr>
            <w:r>
              <w:rPr>
                <w:rFonts w:cs="Times New Roman"/>
                <w:sz w:val="22"/>
              </w:rPr>
            </w:r>
          </w:p>
        </w:tc>
      </w:tr>
      <w:tr>
        <w:trPr/>
        <w:tc>
          <w:tcPr>
            <w:tcW w:w="5400" w:type="dxa"/>
            <w:tcBorders/>
          </w:tcPr>
          <w:p>
            <w:pPr>
              <w:pStyle w:val="BodyText"/>
              <w:numPr>
                <w:ilvl w:val="0"/>
                <w:numId w:val="2"/>
              </w:numPr>
              <w:tabs>
                <w:tab w:val="clear" w:pos="720"/>
                <w:tab w:val="left" w:pos="882" w:leader="none"/>
              </w:tabs>
              <w:spacing w:lineRule="auto" w:line="240" w:before="0" w:after="0"/>
              <w:jc w:val="both"/>
              <w:rPr>
                <w:rFonts w:ascii="Times New Roman" w:hAnsi="Times New Roman" w:cs="Times New Roman"/>
              </w:rPr>
            </w:pPr>
            <w:r>
              <w:rPr>
                <w:rFonts w:cs="Times New Roman" w:ascii="Times New Roman" w:hAnsi="Times New Roman"/>
              </w:rPr>
              <w:t>Renewable energy policy and marketing</w:t>
            </w:r>
          </w:p>
        </w:tc>
        <w:tc>
          <w:tcPr>
            <w:tcW w:w="5220" w:type="dxa"/>
            <w:gridSpan w:val="2"/>
            <w:tcBorders/>
          </w:tcPr>
          <w:p>
            <w:pPr>
              <w:pStyle w:val="BodyText"/>
              <w:numPr>
                <w:ilvl w:val="0"/>
                <w:numId w:val="12"/>
              </w:numPr>
              <w:tabs>
                <w:tab w:val="clear" w:pos="720"/>
                <w:tab w:val="left" w:pos="432" w:leader="none"/>
              </w:tabs>
              <w:spacing w:lineRule="auto" w:line="240" w:before="0" w:after="0"/>
              <w:ind w:hanging="360" w:start="432" w:end="0"/>
              <w:jc w:val="both"/>
              <w:rPr>
                <w:rFonts w:ascii="Times New Roman" w:hAnsi="Times New Roman" w:cs="Times New Roman"/>
              </w:rPr>
            </w:pPr>
            <w:r>
              <w:rPr>
                <w:rFonts w:cs="Times New Roman" w:ascii="Times New Roman" w:hAnsi="Times New Roman"/>
              </w:rPr>
              <w:t>Natural gas utility ratemaking and regulation</w:t>
            </w:r>
          </w:p>
        </w:tc>
        <w:tc>
          <w:tcPr>
            <w:tcW w:w="360" w:type="dxa"/>
            <w:tcBorders/>
            <w:tcMar>
              <w:start w:w="0" w:type="dxa"/>
              <w:end w:w="0" w:type="dxa"/>
            </w:tcMar>
          </w:tcPr>
          <w:p>
            <w:pPr>
              <w:pStyle w:val="Normal"/>
              <w:snapToGrid w:val="false"/>
              <w:rPr>
                <w:rFonts w:ascii="Times New Roman" w:hAnsi="Times New Roman" w:cs="Times New Roman"/>
                <w:sz w:val="22"/>
              </w:rPr>
            </w:pPr>
            <w:r>
              <w:rPr>
                <w:rFonts w:cs="Times New Roman"/>
                <w:sz w:val="22"/>
              </w:rPr>
            </w:r>
          </w:p>
        </w:tc>
      </w:tr>
      <w:tr>
        <w:trPr/>
        <w:tc>
          <w:tcPr>
            <w:tcW w:w="5400" w:type="dxa"/>
            <w:tcBorders/>
          </w:tcPr>
          <w:p>
            <w:pPr>
              <w:pStyle w:val="BodyText"/>
              <w:numPr>
                <w:ilvl w:val="0"/>
                <w:numId w:val="8"/>
              </w:numPr>
              <w:tabs>
                <w:tab w:val="clear" w:pos="720"/>
                <w:tab w:val="left" w:pos="882" w:leader="none"/>
              </w:tabs>
              <w:spacing w:lineRule="auto" w:line="240" w:before="0" w:after="0"/>
              <w:jc w:val="both"/>
              <w:rPr>
                <w:rFonts w:ascii="Times New Roman" w:hAnsi="Times New Roman" w:cs="Times New Roman"/>
              </w:rPr>
            </w:pPr>
            <w:r>
              <w:rPr>
                <w:rFonts w:cs="Times New Roman" w:ascii="Times New Roman" w:hAnsi="Times New Roman"/>
              </w:rPr>
              <w:t>Consumer education and protection issues</w:t>
            </w:r>
          </w:p>
        </w:tc>
        <w:tc>
          <w:tcPr>
            <w:tcW w:w="5130" w:type="dxa"/>
            <w:tcBorders/>
          </w:tcPr>
          <w:p>
            <w:pPr>
              <w:pStyle w:val="BodyText"/>
              <w:numPr>
                <w:ilvl w:val="0"/>
                <w:numId w:val="4"/>
              </w:numPr>
              <w:tabs>
                <w:tab w:val="clear" w:pos="720"/>
                <w:tab w:val="left" w:pos="432" w:leader="none"/>
              </w:tabs>
              <w:spacing w:lineRule="auto" w:line="240" w:before="0" w:after="0"/>
              <w:ind w:hanging="360" w:start="432" w:end="0"/>
              <w:jc w:val="both"/>
              <w:rPr>
                <w:rFonts w:ascii="Times New Roman" w:hAnsi="Times New Roman" w:cs="Times New Roman"/>
              </w:rPr>
            </w:pPr>
            <w:r>
              <w:rPr>
                <w:rFonts w:cs="Times New Roman" w:ascii="Times New Roman" w:hAnsi="Times New Roman"/>
              </w:rPr>
              <w:t>Review of mergers, acquisition and divestitures</w:t>
            </w:r>
          </w:p>
        </w:tc>
        <w:tc>
          <w:tcPr>
            <w:tcW w:w="450" w:type="dxa"/>
            <w:gridSpan w:val="2"/>
            <w:tcBorders/>
            <w:tcMar>
              <w:start w:w="0" w:type="dxa"/>
              <w:end w:w="0" w:type="dxa"/>
            </w:tcMar>
          </w:tcPr>
          <w:p>
            <w:pPr>
              <w:pStyle w:val="Normal"/>
              <w:snapToGrid w:val="false"/>
              <w:rPr>
                <w:rFonts w:ascii="Times New Roman" w:hAnsi="Times New Roman" w:cs="Times New Roman"/>
                <w:sz w:val="22"/>
              </w:rPr>
            </w:pPr>
            <w:r>
              <w:rPr>
                <w:rFonts w:cs="Times New Roman"/>
                <w:sz w:val="22"/>
              </w:rPr>
            </w:r>
          </w:p>
        </w:tc>
      </w:tr>
      <w:tr>
        <w:trPr/>
        <w:tc>
          <w:tcPr>
            <w:tcW w:w="5400" w:type="dxa"/>
            <w:tcBorders/>
          </w:tcPr>
          <w:p>
            <w:pPr>
              <w:pStyle w:val="BodyText"/>
              <w:numPr>
                <w:ilvl w:val="0"/>
                <w:numId w:val="8"/>
              </w:numPr>
              <w:tabs>
                <w:tab w:val="clear" w:pos="720"/>
                <w:tab w:val="left" w:pos="882" w:leader="none"/>
              </w:tabs>
              <w:spacing w:lineRule="auto" w:line="240" w:before="0" w:after="0"/>
              <w:jc w:val="both"/>
              <w:rPr>
                <w:rFonts w:ascii="Times New Roman" w:hAnsi="Times New Roman" w:cs="Times New Roman"/>
              </w:rPr>
            </w:pPr>
            <w:r>
              <w:rPr>
                <w:rFonts w:cs="Times New Roman" w:ascii="Times New Roman" w:hAnsi="Times New Roman"/>
              </w:rPr>
              <w:t>Distributed generation and distribution competition</w:t>
            </w:r>
          </w:p>
          <w:p>
            <w:pPr>
              <w:pStyle w:val="BodyText"/>
              <w:numPr>
                <w:ilvl w:val="0"/>
                <w:numId w:val="8"/>
              </w:numPr>
              <w:tabs>
                <w:tab w:val="clear" w:pos="720"/>
                <w:tab w:val="left" w:pos="882" w:leader="none"/>
              </w:tabs>
              <w:spacing w:lineRule="auto" w:line="240" w:before="0" w:after="0"/>
              <w:jc w:val="both"/>
              <w:rPr>
                <w:rFonts w:ascii="Times New Roman" w:hAnsi="Times New Roman" w:cs="Times New Roman"/>
              </w:rPr>
            </w:pPr>
            <w:r>
              <w:rPr>
                <w:rFonts w:cs="Times New Roman" w:ascii="Times New Roman" w:hAnsi="Times New Roman"/>
              </w:rPr>
              <w:t>Utility ratemaking theory and practice</w:t>
            </w:r>
          </w:p>
        </w:tc>
        <w:tc>
          <w:tcPr>
            <w:tcW w:w="5580" w:type="dxa"/>
            <w:gridSpan w:val="3"/>
            <w:tcBorders/>
          </w:tcPr>
          <w:p>
            <w:pPr>
              <w:pStyle w:val="BodyText"/>
              <w:numPr>
                <w:ilvl w:val="0"/>
                <w:numId w:val="4"/>
              </w:numPr>
              <w:tabs>
                <w:tab w:val="clear" w:pos="720"/>
                <w:tab w:val="left" w:pos="432" w:leader="none"/>
              </w:tabs>
              <w:spacing w:lineRule="auto" w:line="240" w:before="0" w:after="0"/>
              <w:ind w:hanging="360" w:start="432" w:end="0"/>
              <w:jc w:val="both"/>
              <w:rPr>
                <w:rFonts w:ascii="Times New Roman" w:hAnsi="Times New Roman" w:cs="Times New Roman"/>
              </w:rPr>
            </w:pPr>
            <w:r>
              <w:rPr>
                <w:rFonts w:cs="Times New Roman" w:ascii="Times New Roman" w:hAnsi="Times New Roman"/>
              </w:rPr>
              <w:t>Utility entrance into telecommunications</w:t>
            </w:r>
          </w:p>
          <w:p>
            <w:pPr>
              <w:pStyle w:val="BodyText"/>
              <w:numPr>
                <w:ilvl w:val="0"/>
                <w:numId w:val="4"/>
              </w:numPr>
              <w:tabs>
                <w:tab w:val="clear" w:pos="720"/>
                <w:tab w:val="left" w:pos="432" w:leader="none"/>
              </w:tabs>
              <w:spacing w:lineRule="auto" w:line="240" w:before="0" w:after="0"/>
              <w:ind w:hanging="360" w:start="432" w:end="0"/>
              <w:jc w:val="both"/>
              <w:rPr>
                <w:rFonts w:ascii="Times New Roman" w:hAnsi="Times New Roman" w:cs="Times New Roman"/>
              </w:rPr>
            </w:pPr>
            <w:r>
              <w:rPr>
                <w:rFonts w:cs="Times New Roman" w:ascii="Times New Roman" w:hAnsi="Times New Roman"/>
              </w:rPr>
              <w:t>Legislative and regulatory advocacy</w:t>
            </w:r>
          </w:p>
        </w:tc>
      </w:tr>
    </w:tbl>
    <w:p>
      <w:pPr>
        <w:pStyle w:val="Heading1"/>
        <w:spacing w:before="120" w:after="120"/>
        <w:ind w:hanging="0" w:start="0"/>
        <w:rPr>
          <w:sz w:val="28"/>
        </w:rPr>
      </w:pPr>
      <w:r>
        <w:rPr>
          <w:sz w:val="28"/>
        </w:rPr>
        <w:t>Experience</w:t>
      </w:r>
    </w:p>
    <w:p>
      <w:pPr>
        <w:pStyle w:val="Normal"/>
        <w:spacing w:before="0" w:after="60"/>
        <w:rPr>
          <w:b/>
          <w:sz w:val="24"/>
        </w:rPr>
      </w:pPr>
      <w:r>
        <w:rPr>
          <w:b/>
          <w:sz w:val="24"/>
        </w:rPr>
        <w:t>THE YANKEE GROUP, BOSTON, MA (2000-2001)</w:t>
      </w:r>
    </w:p>
    <w:p>
      <w:pPr>
        <w:pStyle w:val="Heading2"/>
        <w:spacing w:before="0" w:after="60"/>
        <w:ind w:hanging="0" w:start="0"/>
        <w:rPr>
          <w:caps w:val="false"/>
          <w:smallCaps w:val="false"/>
          <w:sz w:val="24"/>
        </w:rPr>
      </w:pPr>
      <w:r>
        <w:rPr>
          <w:caps w:val="false"/>
          <w:smallCaps w:val="false"/>
          <w:sz w:val="24"/>
        </w:rPr>
        <w:t>Program Manager, Consumer Market Convergence</w:t>
      </w:r>
    </w:p>
    <w:p>
      <w:pPr>
        <w:pStyle w:val="Normal"/>
        <w:jc w:val="both"/>
        <w:rPr>
          <w:sz w:val="22"/>
        </w:rPr>
      </w:pPr>
      <w:r>
        <w:rPr>
          <w:sz w:val="22"/>
        </w:rPr>
        <w:t xml:space="preserve">Provided strategic consulting and market research to a wide variety of telecommunications providers, equipment vendors, financial institutions and others.  Tracked emerging regulatory and policy issues, providing analysis of their impacts. </w:t>
      </w:r>
    </w:p>
    <w:p>
      <w:pPr>
        <w:pStyle w:val="Normal"/>
        <w:numPr>
          <w:ilvl w:val="0"/>
          <w:numId w:val="4"/>
        </w:numPr>
        <w:tabs>
          <w:tab w:val="clear" w:pos="720"/>
          <w:tab w:val="left" w:pos="360" w:leader="none"/>
        </w:tabs>
        <w:spacing w:before="0" w:after="60"/>
        <w:ind w:hanging="360" w:start="360" w:end="0"/>
        <w:jc w:val="both"/>
        <w:rPr>
          <w:sz w:val="22"/>
        </w:rPr>
      </w:pPr>
      <w:r>
        <w:rPr>
          <w:sz w:val="22"/>
        </w:rPr>
        <w:t>Provided due diligence competitive assessment and analysis of demand projections of a competitive local telephone company for major financial institutions.</w:t>
      </w:r>
    </w:p>
    <w:p>
      <w:pPr>
        <w:pStyle w:val="Normal"/>
        <w:numPr>
          <w:ilvl w:val="0"/>
          <w:numId w:val="4"/>
        </w:numPr>
        <w:tabs>
          <w:tab w:val="clear" w:pos="720"/>
          <w:tab w:val="left" w:pos="360" w:leader="none"/>
        </w:tabs>
        <w:spacing w:before="0" w:after="60"/>
        <w:ind w:hanging="360" w:start="360" w:end="0"/>
        <w:jc w:val="both"/>
        <w:rPr>
          <w:sz w:val="22"/>
        </w:rPr>
      </w:pPr>
      <w:r>
        <w:rPr>
          <w:sz w:val="22"/>
        </w:rPr>
        <w:t>Developed product bundles and marketing messages targeted at specific customer segments.</w:t>
      </w:r>
    </w:p>
    <w:p>
      <w:pPr>
        <w:pStyle w:val="Normal"/>
        <w:numPr>
          <w:ilvl w:val="0"/>
          <w:numId w:val="4"/>
        </w:numPr>
        <w:tabs>
          <w:tab w:val="clear" w:pos="720"/>
          <w:tab w:val="left" w:pos="360" w:leader="none"/>
        </w:tabs>
        <w:spacing w:before="0" w:after="60"/>
        <w:ind w:hanging="360" w:start="360" w:end="0"/>
        <w:jc w:val="both"/>
        <w:rPr>
          <w:sz w:val="22"/>
        </w:rPr>
      </w:pPr>
      <w:r>
        <w:rPr>
          <w:sz w:val="22"/>
        </w:rPr>
        <w:t>Proposed, sold and managed major consulting project to measure and assess consumers’ substitution of wireless and Internet telephony for long distance calling on behalf of a large global carrier.</w:t>
      </w:r>
    </w:p>
    <w:p>
      <w:pPr>
        <w:pStyle w:val="Normal"/>
        <w:spacing w:before="60" w:after="60"/>
        <w:jc w:val="both"/>
        <w:rPr>
          <w:b/>
          <w:sz w:val="24"/>
          <w:u w:val="single"/>
        </w:rPr>
      </w:pPr>
      <w:r>
        <w:rPr>
          <w:b/>
          <w:caps/>
          <w:sz w:val="24"/>
        </w:rPr>
        <w:t>California Public Utilities Commission, San Francisco, CA</w:t>
      </w:r>
      <w:r>
        <w:rPr>
          <w:b/>
          <w:sz w:val="24"/>
        </w:rPr>
        <w:t xml:space="preserve"> (1988-2000)</w:t>
      </w:r>
    </w:p>
    <w:p>
      <w:pPr>
        <w:pStyle w:val="Normal"/>
        <w:spacing w:before="0" w:after="60"/>
        <w:jc w:val="both"/>
        <w:rPr>
          <w:b/>
          <w:sz w:val="24"/>
        </w:rPr>
      </w:pPr>
      <w:r>
        <w:rPr>
          <w:b/>
          <w:sz w:val="24"/>
        </w:rPr>
        <w:t>Senior Policy Analyst, Division of Strategic Planning (1999-2000)</w:t>
      </w:r>
    </w:p>
    <w:p>
      <w:pPr>
        <w:pStyle w:val="BodyText"/>
        <w:spacing w:lineRule="auto" w:line="240" w:before="0" w:after="60"/>
        <w:jc w:val="both"/>
        <w:rPr>
          <w:rFonts w:ascii="Times New Roman" w:hAnsi="Times New Roman" w:cs="Times New Roman"/>
        </w:rPr>
      </w:pPr>
      <w:r>
        <w:rPr>
          <w:rFonts w:cs="Times New Roman" w:ascii="Times New Roman" w:hAnsi="Times New Roman"/>
        </w:rPr>
        <w:t>Provided Commissioners and Sr. Management with expert economic, policy and technical analysis of telecommunications and energy industry.  Responsible for identifying trends, monitoring and developments and crafting long-term strategies.</w:t>
      </w:r>
    </w:p>
    <w:p>
      <w:pPr>
        <w:pStyle w:val="Normal"/>
        <w:numPr>
          <w:ilvl w:val="0"/>
          <w:numId w:val="5"/>
        </w:numPr>
        <w:spacing w:before="0" w:after="60"/>
        <w:jc w:val="both"/>
        <w:rPr>
          <w:sz w:val="22"/>
        </w:rPr>
      </w:pPr>
      <w:r>
        <w:rPr>
          <w:sz w:val="22"/>
        </w:rPr>
        <w:t>Served as interim policy advisor to Commissioner Joel Hyatt.  Provided expert industry, technical, policy and economic advice on a wide variety of telecommunications issues including, area code and telephone numbering, unbundled network elements, reciprocal compensation, and interconnection agreements.</w:t>
      </w:r>
    </w:p>
    <w:p>
      <w:pPr>
        <w:pStyle w:val="Normal"/>
        <w:numPr>
          <w:ilvl w:val="0"/>
          <w:numId w:val="5"/>
        </w:numPr>
        <w:spacing w:before="0" w:after="60"/>
        <w:jc w:val="both"/>
        <w:rPr>
          <w:sz w:val="22"/>
        </w:rPr>
      </w:pPr>
      <w:r>
        <w:rPr>
          <w:sz w:val="22"/>
        </w:rPr>
        <w:t>Directed successful industry-wide implementation of telephone number pooling, number conservation and allocation policies in California’s fastest growing markets.  Worked successfully with various industry participants to bring this project online well ahead of previously established timelines.</w:t>
      </w:r>
    </w:p>
    <w:p>
      <w:pPr>
        <w:pStyle w:val="Normal"/>
        <w:numPr>
          <w:ilvl w:val="0"/>
          <w:numId w:val="5"/>
        </w:numPr>
        <w:spacing w:before="0" w:after="60"/>
        <w:jc w:val="both"/>
        <w:rPr>
          <w:sz w:val="22"/>
        </w:rPr>
      </w:pPr>
      <w:r>
        <w:rPr>
          <w:sz w:val="22"/>
        </w:rPr>
        <w:t xml:space="preserve">Drafted report warning the Commission of the impact natural gas price increases would have on the wholesale price of electricity and how the specific structure of the California wholesale market would exacerbate the impact.  </w:t>
      </w:r>
    </w:p>
    <w:p>
      <w:pPr>
        <w:pStyle w:val="Normal"/>
        <w:spacing w:before="60" w:after="60"/>
        <w:jc w:val="both"/>
        <w:rPr>
          <w:b/>
          <w:sz w:val="24"/>
        </w:rPr>
      </w:pPr>
      <w:r>
        <w:rPr>
          <w:b/>
          <w:sz w:val="24"/>
        </w:rPr>
        <w:t xml:space="preserve">Executive Policy Advisor to Commissioner Jessie J. Knight, Jr. (1993-1998)  </w:t>
      </w:r>
    </w:p>
    <w:p>
      <w:pPr>
        <w:pStyle w:val="BodyText"/>
        <w:spacing w:lineRule="auto" w:line="240" w:before="0" w:after="60"/>
        <w:jc w:val="both"/>
        <w:rPr>
          <w:rFonts w:ascii="Times New Roman" w:hAnsi="Times New Roman" w:cs="Times New Roman"/>
          <w:b/>
        </w:rPr>
      </w:pPr>
      <w:r>
        <w:rPr>
          <w:rFonts w:cs="Times New Roman" w:ascii="Times New Roman" w:hAnsi="Times New Roman"/>
        </w:rPr>
        <w:t xml:space="preserve">Provided expert economic and policy advice to Commissioner on a wide variety of electricity, natural gas and telecommunication issues.  Appointed by Governor Wilson.  Crafted decisions for Commission’s consideration and adoption.  Managed Commissioner’s caseload leading interdivisional teams of judges, lawyers and analysts.  Reviewed proposed rulings and decisions ensuring they advanced the Commissioner’s policy preferences.  Wrote dissenting and concurring opinions, speeches and public comments. </w:t>
      </w:r>
    </w:p>
    <w:p>
      <w:pPr>
        <w:pStyle w:val="Normal"/>
        <w:numPr>
          <w:ilvl w:val="0"/>
          <w:numId w:val="7"/>
        </w:numPr>
        <w:spacing w:lineRule="atLeast" w:line="220" w:before="0" w:after="60"/>
        <w:jc w:val="both"/>
        <w:rPr>
          <w:sz w:val="22"/>
        </w:rPr>
      </w:pPr>
      <w:r>
        <w:rPr>
          <w:sz w:val="22"/>
        </w:rPr>
        <w:t xml:space="preserve">Played key role in the development of retail electric competition and electricity restructuring.  Predicted the market-dynamics that a mandatory power pool, like the one developed in California, would create.  </w:t>
      </w:r>
    </w:p>
    <w:p>
      <w:pPr>
        <w:pStyle w:val="Normal"/>
        <w:numPr>
          <w:ilvl w:val="0"/>
          <w:numId w:val="7"/>
        </w:numPr>
        <w:spacing w:lineRule="atLeast" w:line="220" w:before="0" w:after="60"/>
        <w:jc w:val="both"/>
        <w:rPr>
          <w:sz w:val="22"/>
        </w:rPr>
      </w:pPr>
      <w:r>
        <w:rPr>
          <w:sz w:val="22"/>
        </w:rPr>
        <w:t xml:space="preserve">Developed rules, tariffs and interconnection arrangements for competitive providers to access the utilities’ distribution system.  </w:t>
      </w:r>
    </w:p>
    <w:p>
      <w:pPr>
        <w:pStyle w:val="Normal"/>
        <w:numPr>
          <w:ilvl w:val="0"/>
          <w:numId w:val="7"/>
        </w:numPr>
        <w:spacing w:lineRule="atLeast" w:line="220" w:before="0" w:after="60"/>
        <w:jc w:val="both"/>
        <w:rPr>
          <w:sz w:val="22"/>
        </w:rPr>
      </w:pPr>
      <w:r>
        <w:rPr>
          <w:sz w:val="22"/>
        </w:rPr>
        <w:t>Developed good working relations with management and key decision-makers among utilities, industrial consumer groups, retail electricity service providers, interest groups and state/federal regulatory agencies.</w:t>
      </w:r>
    </w:p>
    <w:p>
      <w:pPr>
        <w:pStyle w:val="Normal"/>
        <w:numPr>
          <w:ilvl w:val="0"/>
          <w:numId w:val="7"/>
        </w:numPr>
        <w:spacing w:lineRule="atLeast" w:line="220" w:before="0" w:after="60"/>
        <w:jc w:val="both"/>
        <w:rPr>
          <w:sz w:val="22"/>
        </w:rPr>
      </w:pPr>
      <w:r>
        <w:rPr>
          <w:sz w:val="22"/>
        </w:rPr>
        <w:t xml:space="preserve">Oversaw day-to-day management of the Commission’s investigation into electric restructuring, including drafting of key sections of the Commission’s policy decisions.  </w:t>
      </w:r>
    </w:p>
    <w:p>
      <w:pPr>
        <w:pStyle w:val="Normal"/>
        <w:numPr>
          <w:ilvl w:val="0"/>
          <w:numId w:val="7"/>
        </w:numPr>
        <w:spacing w:lineRule="atLeast" w:line="220" w:before="0" w:after="60"/>
        <w:jc w:val="both"/>
        <w:rPr>
          <w:sz w:val="22"/>
        </w:rPr>
      </w:pPr>
      <w:r>
        <w:rPr>
          <w:sz w:val="22"/>
        </w:rPr>
        <w:t xml:space="preserve">Provided expert analysis and policy development in both inter and intrastate regulation of natural gas </w:t>
      </w:r>
    </w:p>
    <w:p>
      <w:pPr>
        <w:pStyle w:val="Normal"/>
        <w:numPr>
          <w:ilvl w:val="0"/>
          <w:numId w:val="7"/>
        </w:numPr>
        <w:spacing w:lineRule="atLeast" w:line="220" w:before="0" w:after="60"/>
        <w:jc w:val="both"/>
        <w:rPr>
          <w:sz w:val="22"/>
        </w:rPr>
      </w:pPr>
      <w:r>
        <w:rPr>
          <w:sz w:val="22"/>
        </w:rPr>
        <w:t xml:space="preserve">Played key role in the development of California's competitive local telecommunications policies.  </w:t>
      </w:r>
    </w:p>
    <w:p>
      <w:pPr>
        <w:pStyle w:val="Normal"/>
        <w:numPr>
          <w:ilvl w:val="0"/>
          <w:numId w:val="7"/>
        </w:numPr>
        <w:spacing w:lineRule="atLeast" w:line="220" w:before="0" w:after="60"/>
        <w:jc w:val="both"/>
        <w:rPr>
          <w:sz w:val="22"/>
        </w:rPr>
      </w:pPr>
      <w:r>
        <w:rPr>
          <w:sz w:val="22"/>
        </w:rPr>
        <w:t xml:space="preserve">Member of the Western States working group which developed energy source tracking and reporting guidelines.  Worked closely with regulators from several western states in establishing tracking, reporting and disclosure. </w:t>
      </w:r>
    </w:p>
    <w:p>
      <w:pPr>
        <w:pStyle w:val="Normal"/>
        <w:numPr>
          <w:ilvl w:val="0"/>
          <w:numId w:val="7"/>
        </w:numPr>
        <w:spacing w:lineRule="atLeast" w:line="220" w:before="0" w:after="60"/>
        <w:jc w:val="both"/>
        <w:rPr>
          <w:sz w:val="22"/>
        </w:rPr>
      </w:pPr>
      <w:r>
        <w:rPr>
          <w:sz w:val="22"/>
        </w:rPr>
        <w:t xml:space="preserve">Managed "Effie" award winning (New York Marketing Association award for effectiveness), $70 million advertising campaign to educate consumers about retail competition in electric utility market.  Exceeded benchmark by 30%, achieving 80% awareness.  Approved of all copy and marketing communication.  </w:t>
      </w:r>
    </w:p>
    <w:p>
      <w:pPr>
        <w:pStyle w:val="Normal"/>
        <w:numPr>
          <w:ilvl w:val="0"/>
          <w:numId w:val="7"/>
        </w:numPr>
        <w:spacing w:lineRule="atLeast" w:line="220" w:before="0" w:after="60"/>
        <w:jc w:val="both"/>
        <w:rPr>
          <w:i/>
          <w:i/>
          <w:sz w:val="22"/>
        </w:rPr>
      </w:pPr>
      <w:r>
        <w:rPr>
          <w:sz w:val="22"/>
        </w:rPr>
        <w:t>Drafted key aspects of decision allowing Airtouch spin-off from Pacific Telesis.  Played a key roll in the Commission’s approval of the San Diego Gas and Electric/Pacific Enterprises, SBC/Pacific Telesis and the MCI/WorldCom mergers.</w:t>
      </w:r>
    </w:p>
    <w:p>
      <w:pPr>
        <w:pStyle w:val="Normal"/>
        <w:numPr>
          <w:ilvl w:val="0"/>
          <w:numId w:val="7"/>
        </w:numPr>
        <w:spacing w:lineRule="atLeast" w:line="220" w:before="0" w:after="60"/>
        <w:jc w:val="both"/>
        <w:rPr>
          <w:i/>
          <w:i/>
          <w:sz w:val="22"/>
        </w:rPr>
      </w:pPr>
      <w:r>
        <w:rPr>
          <w:sz w:val="22"/>
        </w:rPr>
        <w:t>Commissioner’s liaison to the California Legislature.  Testified before the California legislature on local telephone competition issues.  Testified before Nevada and Maine legislatures on benefits of retail electric competition.</w:t>
      </w:r>
    </w:p>
    <w:p>
      <w:pPr>
        <w:pStyle w:val="Normal"/>
        <w:numPr>
          <w:ilvl w:val="0"/>
          <w:numId w:val="7"/>
        </w:numPr>
        <w:spacing w:lineRule="atLeast" w:line="220" w:before="0" w:after="60"/>
        <w:jc w:val="both"/>
        <w:rPr>
          <w:i/>
          <w:i/>
          <w:sz w:val="22"/>
        </w:rPr>
      </w:pPr>
      <w:r>
        <w:rPr>
          <w:sz w:val="22"/>
        </w:rPr>
        <w:t>Member (1997-2000) Board of Directors, Green-E, a not-for-profit group that certifies renewable content of competitive electricity products, fostering development of viable renewable energy market.</w:t>
      </w:r>
    </w:p>
    <w:p>
      <w:pPr>
        <w:pStyle w:val="BodyTextIndent2"/>
        <w:tabs>
          <w:tab w:val="clear" w:pos="720"/>
          <w:tab w:val="left" w:pos="360" w:leader="none"/>
          <w:tab w:val="left" w:pos="6840" w:leader="none"/>
        </w:tabs>
        <w:spacing w:before="60" w:after="60"/>
        <w:ind w:hanging="360" w:start="360" w:end="0"/>
        <w:jc w:val="both"/>
        <w:rPr>
          <w:sz w:val="24"/>
        </w:rPr>
      </w:pPr>
      <w:r>
        <w:rPr>
          <w:sz w:val="24"/>
        </w:rPr>
        <w:t xml:space="preserve">Senior Policy Analyst, Division of Strategic Planning (1991-1993)  </w:t>
      </w:r>
    </w:p>
    <w:p>
      <w:pPr>
        <w:pStyle w:val="BodyText3"/>
        <w:rPr/>
      </w:pPr>
      <w:r>
        <w:rPr/>
        <w:t>Responsible for leading the Commission’s analysis of federal telecommunications policies.  Member of multi-disciplinary team that initiated California’s investigation into electric restructuring and retail electric competition.  Member of team that championed local telecommunications competition and drafted the Commission’s 1993 report to the Governor recommending that the local market be opened to competition.  Report adopted (1994) by the Governor and Legislature.</w:t>
      </w:r>
    </w:p>
    <w:p>
      <w:pPr>
        <w:pStyle w:val="Normal"/>
        <w:numPr>
          <w:ilvl w:val="0"/>
          <w:numId w:val="6"/>
        </w:numPr>
        <w:tabs>
          <w:tab w:val="clear" w:pos="720"/>
          <w:tab w:val="left" w:pos="6840" w:leader="none"/>
        </w:tabs>
        <w:spacing w:before="0" w:after="60"/>
        <w:jc w:val="both"/>
        <w:rPr>
          <w:sz w:val="22"/>
        </w:rPr>
      </w:pPr>
      <w:r>
        <w:rPr>
          <w:sz w:val="22"/>
        </w:rPr>
        <w:t>Testified before the California legislature on a variety of telecommunications issues including local telecommunications competition and the detariffing of enhanced services.</w:t>
      </w:r>
    </w:p>
    <w:p>
      <w:pPr>
        <w:pStyle w:val="Normal"/>
        <w:numPr>
          <w:ilvl w:val="0"/>
          <w:numId w:val="6"/>
        </w:numPr>
        <w:tabs>
          <w:tab w:val="clear" w:pos="720"/>
          <w:tab w:val="left" w:pos="6840" w:leader="none"/>
        </w:tabs>
        <w:spacing w:before="0" w:after="60"/>
        <w:jc w:val="both"/>
        <w:rPr>
          <w:sz w:val="22"/>
        </w:rPr>
      </w:pPr>
      <w:r>
        <w:rPr>
          <w:sz w:val="22"/>
        </w:rPr>
        <w:t xml:space="preserve">Drafted rulemaking on Open Network Architecture and Network Development (ONAND) developing rules to give competitive providers access to unbundled network elements.  </w:t>
      </w:r>
    </w:p>
    <w:p>
      <w:pPr>
        <w:pStyle w:val="Normal"/>
        <w:numPr>
          <w:ilvl w:val="0"/>
          <w:numId w:val="6"/>
        </w:numPr>
        <w:tabs>
          <w:tab w:val="clear" w:pos="720"/>
          <w:tab w:val="left" w:pos="6840" w:leader="none"/>
        </w:tabs>
        <w:spacing w:before="0" w:after="60"/>
        <w:jc w:val="both"/>
        <w:rPr>
          <w:sz w:val="22"/>
        </w:rPr>
      </w:pPr>
      <w:r>
        <w:rPr>
          <w:sz w:val="22"/>
        </w:rPr>
        <w:t>Developed commission positions on federal telecommunications issues and drafted official comments to the FCC and the National Telecommunication and Information Administration.</w:t>
      </w:r>
      <w:r>
        <w:rPr>
          <w:b/>
          <w:sz w:val="22"/>
        </w:rPr>
        <w:t xml:space="preserve"> </w:t>
      </w:r>
    </w:p>
    <w:p>
      <w:pPr>
        <w:pStyle w:val="Normal"/>
        <w:tabs>
          <w:tab w:val="clear" w:pos="720"/>
          <w:tab w:val="left" w:pos="360" w:leader="none"/>
        </w:tabs>
        <w:spacing w:before="60" w:after="60"/>
        <w:ind w:hanging="360" w:start="360" w:end="0"/>
        <w:jc w:val="both"/>
        <w:rPr>
          <w:b/>
          <w:sz w:val="24"/>
        </w:rPr>
      </w:pPr>
      <w:r>
        <w:rPr>
          <w:b/>
          <w:sz w:val="24"/>
        </w:rPr>
        <w:t>Federal Regulatory Analyst, Advisory and Compliance Division (1990-1991)</w:t>
      </w:r>
    </w:p>
    <w:p>
      <w:pPr>
        <w:pStyle w:val="BodyTextIndent"/>
        <w:tabs>
          <w:tab w:val="clear" w:pos="720"/>
          <w:tab w:val="left" w:pos="0" w:leader="none"/>
        </w:tabs>
        <w:spacing w:before="0" w:after="60"/>
        <w:ind w:start="0" w:end="0"/>
        <w:jc w:val="both"/>
        <w:rPr>
          <w:i/>
          <w:i/>
        </w:rPr>
      </w:pPr>
      <w:r>
        <w:rPr/>
        <w:t>Provided economic expertise regarding the interstate natural gas transmission market to Commissioners, senior management and to the General Counsel.  Provided economic and policy expertise in developing positions before the Federal Energy Regulatory Commission (FERC).  Testified before the FERC on natural gas rate design and cost-of-capital issues.  Negotiated multimillion-dollar settlements/stipulations on behalf of the Commission.</w:t>
      </w:r>
      <w:r>
        <w:rPr>
          <w:b/>
        </w:rPr>
        <w:t xml:space="preserve"> </w:t>
      </w:r>
    </w:p>
    <w:p>
      <w:pPr>
        <w:pStyle w:val="BodyTextIndent2"/>
        <w:tabs>
          <w:tab w:val="clear" w:pos="720"/>
          <w:tab w:val="left" w:pos="360" w:leader="none"/>
        </w:tabs>
        <w:spacing w:before="60" w:after="60"/>
        <w:ind w:hanging="360" w:start="360" w:end="0"/>
        <w:jc w:val="both"/>
        <w:rPr>
          <w:sz w:val="24"/>
        </w:rPr>
      </w:pPr>
      <w:r>
        <w:rPr>
          <w:sz w:val="24"/>
        </w:rPr>
        <w:t>Regulatory Policy Analyst, Division of Ratepayer Advocates/Strategic Planning (1988-1990)</w:t>
      </w:r>
    </w:p>
    <w:p>
      <w:pPr>
        <w:pStyle w:val="Normal"/>
        <w:tabs>
          <w:tab w:val="clear" w:pos="720"/>
          <w:tab w:val="left" w:pos="0" w:leader="none"/>
        </w:tabs>
        <w:spacing w:before="0" w:after="60"/>
        <w:jc w:val="both"/>
        <w:rPr>
          <w:i/>
          <w:i/>
          <w:sz w:val="22"/>
        </w:rPr>
      </w:pPr>
      <w:r>
        <w:rPr>
          <w:sz w:val="22"/>
        </w:rPr>
        <w:t>Provided economic expertise in public utility regulation and the economics of network industries.  Provided expert testimony in telecommunications, energy and transportation cases.  Successfully testified before the Commission in transportation deregulation and regulatory flexibility in long distance market.  Successfully advocated end of minimum rate regulation of Household Goods Moving industry.</w:t>
      </w:r>
      <w:r>
        <w:rPr>
          <w:i/>
          <w:sz w:val="22"/>
        </w:rPr>
        <w:t xml:space="preserve">  </w:t>
      </w:r>
      <w:r>
        <w:rPr>
          <w:sz w:val="22"/>
        </w:rPr>
        <w:t>Accurately forecasted sales, revenues and demand for electricity for a major multi-state utility.</w:t>
      </w:r>
      <w:r>
        <w:rPr>
          <w:i/>
          <w:sz w:val="22"/>
        </w:rPr>
        <w:t xml:space="preserve">  </w:t>
      </w:r>
      <w:r>
        <w:rPr>
          <w:sz w:val="22"/>
        </w:rPr>
        <w:t>Staff member of the FCC/State Joint Conference on Open Network Architecture.</w:t>
      </w:r>
    </w:p>
    <w:p>
      <w:pPr>
        <w:pStyle w:val="Heading4"/>
        <w:tabs>
          <w:tab w:val="clear" w:pos="720"/>
          <w:tab w:val="left" w:pos="360" w:leader="none"/>
        </w:tabs>
        <w:spacing w:before="60" w:after="100"/>
        <w:ind w:hanging="360" w:start="360" w:end="0"/>
        <w:rPr>
          <w:sz w:val="28"/>
        </w:rPr>
      </w:pPr>
      <w:r>
        <w:rPr>
          <w:sz w:val="28"/>
        </w:rPr>
        <w:t>Education</w:t>
      </w:r>
    </w:p>
    <w:p>
      <w:pPr>
        <w:pStyle w:val="Normal"/>
        <w:tabs>
          <w:tab w:val="clear" w:pos="720"/>
          <w:tab w:val="left" w:pos="360" w:leader="none"/>
        </w:tabs>
        <w:spacing w:before="60" w:after="60"/>
        <w:ind w:hanging="360" w:start="360" w:end="0"/>
        <w:jc w:val="both"/>
        <w:rPr/>
      </w:pPr>
      <w:r>
        <w:rPr>
          <w:b/>
          <w:sz w:val="24"/>
        </w:rPr>
        <w:t>Adjunct Professor, School of Technology and Industry, Golden Gate University (1993-1995</w:t>
      </w:r>
      <w:r>
        <w:rPr>
          <w:sz w:val="24"/>
        </w:rPr>
        <w:t xml:space="preserve">) </w:t>
      </w:r>
    </w:p>
    <w:p>
      <w:pPr>
        <w:pStyle w:val="Normal"/>
        <w:numPr>
          <w:ilvl w:val="0"/>
          <w:numId w:val="10"/>
        </w:numPr>
        <w:spacing w:before="0" w:after="60"/>
        <w:jc w:val="both"/>
        <w:rPr>
          <w:sz w:val="22"/>
        </w:rPr>
      </w:pPr>
      <w:r>
        <w:rPr>
          <w:sz w:val="22"/>
        </w:rPr>
        <w:t>Taught graduate level (MBA/MS) classes in Regulatory and Legal Issues of Telecommunications</w:t>
      </w:r>
    </w:p>
    <w:p>
      <w:pPr>
        <w:pStyle w:val="Normal"/>
        <w:tabs>
          <w:tab w:val="clear" w:pos="720"/>
          <w:tab w:val="left" w:pos="360" w:leader="none"/>
        </w:tabs>
        <w:spacing w:before="60" w:after="60"/>
        <w:ind w:hanging="360" w:start="360" w:end="0"/>
        <w:jc w:val="both"/>
        <w:rPr/>
      </w:pPr>
      <w:r>
        <w:rPr>
          <w:b/>
          <w:sz w:val="24"/>
        </w:rPr>
        <w:t>Master of Arts in Economics: New Mexico State University, Las Cruces, NM (May 1988)</w:t>
      </w:r>
      <w:r>
        <w:rPr>
          <w:sz w:val="24"/>
        </w:rPr>
        <w:t xml:space="preserve">  </w:t>
      </w:r>
    </w:p>
    <w:p>
      <w:pPr>
        <w:pStyle w:val="Normal"/>
        <w:numPr>
          <w:ilvl w:val="0"/>
          <w:numId w:val="10"/>
        </w:numPr>
        <w:spacing w:before="0" w:after="60"/>
        <w:jc w:val="both"/>
        <w:rPr>
          <w:sz w:val="22"/>
        </w:rPr>
      </w:pPr>
      <w:r>
        <w:rPr>
          <w:sz w:val="22"/>
        </w:rPr>
        <w:t>Emphasis on Economics of Public Utilities and Network Industries</w:t>
      </w:r>
    </w:p>
    <w:p>
      <w:pPr>
        <w:pStyle w:val="Normal"/>
        <w:numPr>
          <w:ilvl w:val="0"/>
          <w:numId w:val="10"/>
        </w:numPr>
        <w:spacing w:before="0" w:after="60"/>
        <w:jc w:val="both"/>
        <w:rPr>
          <w:sz w:val="22"/>
        </w:rPr>
      </w:pPr>
      <w:r>
        <w:rPr>
          <w:sz w:val="22"/>
        </w:rPr>
        <w:t>Mountain Bell/US West Telecommunications Research Fellow</w:t>
      </w:r>
    </w:p>
    <w:p>
      <w:pPr>
        <w:pStyle w:val="Normal"/>
        <w:numPr>
          <w:ilvl w:val="0"/>
          <w:numId w:val="10"/>
        </w:numPr>
        <w:spacing w:before="0" w:after="60"/>
        <w:jc w:val="both"/>
        <w:rPr>
          <w:sz w:val="22"/>
        </w:rPr>
      </w:pPr>
      <w:r>
        <w:rPr>
          <w:sz w:val="22"/>
        </w:rPr>
        <w:t>Internships with US West and United Telephone (Sprint) Summer 1986 and 1987</w:t>
      </w:r>
    </w:p>
    <w:p>
      <w:pPr>
        <w:pStyle w:val="Normal"/>
        <w:tabs>
          <w:tab w:val="clear" w:pos="720"/>
          <w:tab w:val="left" w:pos="360" w:leader="none"/>
        </w:tabs>
        <w:spacing w:before="60" w:after="60"/>
        <w:ind w:hanging="360" w:start="360" w:end="0"/>
        <w:jc w:val="both"/>
        <w:rPr>
          <w:sz w:val="24"/>
        </w:rPr>
      </w:pPr>
      <w:r>
        <w:rPr>
          <w:b/>
          <w:sz w:val="24"/>
        </w:rPr>
        <w:t>Bachelors of Arts in Economics: New Mexico State University,  Las Cruces, NM (May 1986)</w:t>
      </w:r>
    </w:p>
    <w:p>
      <w:pPr>
        <w:pStyle w:val="Normal"/>
        <w:numPr>
          <w:ilvl w:val="0"/>
          <w:numId w:val="9"/>
        </w:numPr>
        <w:tabs>
          <w:tab w:val="clear" w:pos="720"/>
          <w:tab w:val="left" w:pos="360" w:leader="none"/>
        </w:tabs>
        <w:spacing w:before="0" w:after="60"/>
        <w:ind w:hanging="360" w:start="360" w:end="0"/>
        <w:jc w:val="both"/>
        <w:rPr>
          <w:i/>
          <w:i/>
          <w:caps/>
          <w:sz w:val="22"/>
        </w:rPr>
      </w:pPr>
      <w:r>
        <w:rPr>
          <w:sz w:val="22"/>
        </w:rPr>
        <w:t>Minors in Professional Writing and International Relations</w:t>
      </w:r>
    </w:p>
    <w:sectPr>
      <w:headerReference w:type="default" r:id="rId2"/>
      <w:headerReference w:type="first" r:id="rId3"/>
      <w:footerReference w:type="default" r:id="rId4"/>
      <w:footerReference w:type="first" r:id="rId5"/>
      <w:type w:val="nextPage"/>
      <w:pgSz w:w="12240" w:h="15840"/>
      <w:pgMar w:left="720" w:right="720" w:gutter="0" w:header="540" w:top="72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 York">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ind w:hanging="0" w:start="0"/>
      <w:rPr>
        <w:sz w:val="22"/>
      </w:rPr>
    </w:pPr>
    <w:r>
      <w:rPr>
        <w:sz w:val="22"/>
      </w:rPr>
      <w:t>References Available upon Request</w:t>
    </w:r>
  </w:p>
  <w:p>
    <w:pPr>
      <w:pStyle w:val="Footer"/>
      <w:rPr>
        <w:sz w:val="22"/>
      </w:rPr>
    </w:pPr>
    <w:r>
      <w:rPr>
        <w:sz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thickThinSmallGap" w:sz="24" w:space="1" w:color="000000"/>
      </w:pBdr>
      <w:spacing w:before="0" w:after="120"/>
      <w:jc w:val="both"/>
      <w:rPr/>
    </w:pPr>
    <w:r>
      <w:rPr>
        <w:b/>
        <w:smallCaps/>
        <w:sz w:val="28"/>
      </w:rPr>
      <w:t>Robert C. Lane</w:t>
    </w:r>
    <w:r>
      <w:rPr>
        <w:smallCaps/>
        <w:sz w:val="28"/>
      </w:rPr>
      <w:t xml:space="preserve">                                               </w:t>
    </w: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thickThinSmallGap" w:sz="24" w:space="1" w:color="000000"/>
      </w:pBdr>
      <w:rPr/>
    </w:pPr>
    <w:r>
      <w:rPr>
        <w:b/>
        <w:smallCaps/>
        <w:sz w:val="32"/>
      </w:rPr>
      <w:t>Robert C. Lane</w:t>
    </w:r>
    <w:r>
      <w:rPr>
        <w:smallCaps/>
      </w:rPr>
      <w:t xml:space="preserve">                                                                                                                                             PMB #129, 198 Tremont Street</w:t>
    </w:r>
  </w:p>
  <w:p>
    <w:pPr>
      <w:pStyle w:val="Normal"/>
      <w:pBdr>
        <w:bottom w:val="thickThinSmallGap" w:sz="24" w:space="1" w:color="000000"/>
      </w:pBdr>
      <w:jc w:val="end"/>
      <w:rPr>
        <w:smallCaps/>
      </w:rPr>
    </w:pPr>
    <w:r>
      <w:rPr>
        <w:smallCaps/>
      </w:rPr>
      <w:t xml:space="preserve">                                                                                                                                                                                          </w:t>
    </w:r>
    <w:r>
      <w:rPr>
        <w:smallCaps/>
      </w:rPr>
      <w:t>Boston, MA  02116</w:t>
    </w:r>
  </w:p>
  <w:p>
    <w:pPr>
      <w:pStyle w:val="Normal"/>
      <w:pBdr>
        <w:bottom w:val="thickThinSmallGap" w:sz="24" w:space="1" w:color="000000"/>
      </w:pBdr>
      <w:jc w:val="end"/>
      <w:rPr>
        <w:rFonts w:ascii="Times" w:hAnsi="Times" w:cs="Times"/>
      </w:rPr>
    </w:pPr>
    <w:r>
      <w:rPr>
        <w:rFonts w:cs="Times" w:ascii="Times" w:hAnsi="Times"/>
      </w:rPr>
      <w:t>415-713-4473</w:t>
    </w:r>
  </w:p>
  <w:p>
    <w:pPr>
      <w:pStyle w:val="Normal"/>
      <w:pBdr>
        <w:bottom w:val="thickThinSmallGap" w:sz="24" w:space="1" w:color="000000"/>
      </w:pBdr>
      <w:jc w:val="end"/>
      <w:rPr>
        <w:rFonts w:ascii="Times" w:hAnsi="Times" w:cs="Times"/>
      </w:rPr>
    </w:pPr>
    <w:r>
      <w:rPr>
        <w:rFonts w:cs="Times" w:ascii="Times" w:hAnsi="Times"/>
      </w:rPr>
      <w:t>lanebob1@yahoo.com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720"/>
        </w:tabs>
        <w:ind w:start="72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100"/>
      <w:jc w:val="center"/>
      <w:outlineLvl w:val="0"/>
    </w:pPr>
    <w:rPr>
      <w:b/>
      <w:smallCaps/>
      <w:sz w:val="22"/>
      <w:u w:val="single"/>
    </w:rPr>
  </w:style>
  <w:style w:type="paragraph" w:styleId="Heading2">
    <w:name w:val="heading 2"/>
    <w:basedOn w:val="Normal"/>
    <w:next w:val="Normal"/>
    <w:qFormat/>
    <w:pPr>
      <w:keepNext w:val="true"/>
      <w:numPr>
        <w:ilvl w:val="1"/>
        <w:numId w:val="1"/>
      </w:numPr>
      <w:spacing w:before="0" w:after="100"/>
      <w:outlineLvl w:val="1"/>
    </w:pPr>
    <w:rPr>
      <w:b/>
      <w:caps/>
      <w:sz w:val="22"/>
    </w:rPr>
  </w:style>
  <w:style w:type="paragraph" w:styleId="Heading3">
    <w:name w:val="heading 3"/>
    <w:basedOn w:val="Normal"/>
    <w:next w:val="Normal"/>
    <w:qFormat/>
    <w:pPr>
      <w:keepNext w:val="true"/>
      <w:numPr>
        <w:ilvl w:val="2"/>
        <w:numId w:val="1"/>
      </w:numPr>
      <w:jc w:val="center"/>
      <w:outlineLvl w:val="2"/>
    </w:pPr>
    <w:rPr>
      <w:b/>
      <w:bCs/>
    </w:rPr>
  </w:style>
  <w:style w:type="paragraph" w:styleId="Heading4">
    <w:name w:val="heading 4"/>
    <w:basedOn w:val="Normal"/>
    <w:next w:val="Normal"/>
    <w:qFormat/>
    <w:pPr>
      <w:keepNext w:val="true"/>
      <w:numPr>
        <w:ilvl w:val="3"/>
        <w:numId w:val="1"/>
      </w:numPr>
      <w:spacing w:before="0" w:after="100"/>
      <w:jc w:val="center"/>
      <w:outlineLvl w:val="3"/>
    </w:pPr>
    <w:rPr>
      <w:b/>
      <w:smallCaps/>
      <w:sz w:val="24"/>
      <w:u w:val="single"/>
    </w:rPr>
  </w:style>
  <w:style w:type="paragraph" w:styleId="Heading5">
    <w:name w:val="heading 5"/>
    <w:basedOn w:val="Normal"/>
    <w:next w:val="Normal"/>
    <w:qFormat/>
    <w:pPr>
      <w:keepNext w:val="true"/>
      <w:numPr>
        <w:ilvl w:val="4"/>
        <w:numId w:val="1"/>
      </w:numPr>
      <w:spacing w:before="0" w:after="100"/>
      <w:outlineLvl w:val="4"/>
    </w:pPr>
    <w:rPr>
      <w:b/>
    </w:rPr>
  </w:style>
  <w:style w:type="paragraph" w:styleId="Heading6">
    <w:name w:val="heading 6"/>
    <w:basedOn w:val="Normal"/>
    <w:next w:val="Normal"/>
    <w:qFormat/>
    <w:pPr>
      <w:keepNext w:val="true"/>
      <w:numPr>
        <w:ilvl w:val="5"/>
        <w:numId w:val="1"/>
      </w:numPr>
      <w:tabs>
        <w:tab w:val="clear" w:pos="720"/>
        <w:tab w:val="left" w:pos="540" w:leader="none"/>
      </w:tabs>
      <w:spacing w:before="0" w:after="60"/>
      <w:jc w:val="center"/>
      <w:outlineLvl w:val="5"/>
    </w:pPr>
    <w:rPr>
      <w:rFonts w:ascii="New York" w:hAnsi="New York" w:cs="New York"/>
      <w:sz w:val="24"/>
      <w:u w:val="single"/>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spacing w:before="120" w:after="120"/>
      <w:jc w:val="center"/>
    </w:pPr>
    <w:rPr>
      <w:b/>
      <w:smallCaps/>
      <w:sz w:val="28"/>
      <w:u w:val="single"/>
    </w:rPr>
  </w:style>
  <w:style w:type="paragraph" w:styleId="BodyText">
    <w:name w:val="Body Text"/>
    <w:basedOn w:val="Normal"/>
    <w:pPr>
      <w:spacing w:lineRule="exact" w:line="200" w:before="0" w:after="100"/>
    </w:pPr>
    <w:rPr>
      <w:rFonts w:ascii="Times" w:hAnsi="Times" w:cs="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New York" w:hAnsi="New York" w:cs="New York"/>
      <w:sz w:val="24"/>
    </w:rPr>
  </w:style>
  <w:style w:type="paragraph" w:styleId="BodyTextIndent">
    <w:name w:val="Body Text Indent"/>
    <w:basedOn w:val="Normal"/>
    <w:pPr>
      <w:spacing w:before="0" w:after="100"/>
      <w:ind w:hanging="0" w:start="187" w:end="0"/>
    </w:pPr>
    <w:rPr>
      <w:sz w:val="22"/>
    </w:rPr>
  </w:style>
  <w:style w:type="paragraph" w:styleId="BodyText2">
    <w:name w:val="Body Text 2"/>
    <w:basedOn w:val="Normal"/>
    <w:qFormat/>
    <w:pPr>
      <w:spacing w:before="120" w:after="0"/>
    </w:pPr>
    <w:rPr/>
  </w:style>
  <w:style w:type="paragraph" w:styleId="BodyTextIndent2">
    <w:name w:val="Body Text Indent 2"/>
    <w:basedOn w:val="Normal"/>
    <w:qFormat/>
    <w:pPr>
      <w:spacing w:before="0" w:after="60"/>
      <w:ind w:hanging="0" w:start="187" w:end="0"/>
    </w:pPr>
    <w:rPr>
      <w:b/>
      <w:sz w:val="22"/>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tabs>
        <w:tab w:val="clear" w:pos="720"/>
        <w:tab w:val="left" w:pos="0" w:leader="none"/>
        <w:tab w:val="left" w:pos="6840" w:leader="none"/>
      </w:tabs>
      <w:spacing w:before="0" w:after="6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2001-08-24T00:30:00Z</dcterms:created>
  <dc:creator>Robert Lane</dc:creator>
  <dc:description/>
  <dc:language>en-CA</dc:language>
  <cp:lastModifiedBy>Kinko's, Inc.</cp:lastModifiedBy>
  <cp:lastPrinted>2001-08-07T16:31:00Z</cp:lastPrinted>
  <dcterms:modified xsi:type="dcterms:W3CDTF">2001-08-24T00:30:00Z</dcterms:modified>
  <cp:revision>2</cp:revision>
  <dc:subject>Resume Energy</dc:subject>
  <dc:title>PROFILE:</dc:title>
</cp:coreProperties>
</file>