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center"/>
        <w:rPr>
          <w:rFonts w:ascii="Tahoma" w:hAnsi="Tahoma" w:cs="Tahoma"/>
          <w:b/>
          <w:sz w:val="28"/>
        </w:rPr>
      </w:pPr>
      <w:r>
        <w:rPr>
          <w:rFonts w:cs="Tahoma" w:ascii="Tahoma" w:hAnsi="Tahoma"/>
          <w:b/>
          <w:sz w:val="28"/>
        </w:rPr>
        <w:t xml:space="preserve">Riverside VI </w:t>
      </w:r>
    </w:p>
    <w:p>
      <w:pPr>
        <w:pStyle w:val="Heading3"/>
        <w:ind w:hanging="0" w:start="0"/>
        <w:rPr>
          <w:color w:val="000000"/>
          <w:lang w:val="en-AU" w:eastAsia="en-US"/>
        </w:rPr>
      </w:pPr>
      <w:r>
        <w:rPr/>
        <w:t>March 30,1999</w:t>
      </w:r>
    </w:p>
    <w:p>
      <w:pPr>
        <w:pStyle w:val="Normal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lang w:val="en-CA"/>
        </w:rPr>
      </w:pPr>
      <w:r>
        <w:rPr>
          <w:rFonts w:cs="Tahoma" w:ascii="Tahoma" w:hAnsi="Tahoma"/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1477010</wp:posOffset>
            </wp:positionH>
            <wp:positionV relativeFrom="paragraph">
              <wp:posOffset>26670</wp:posOffset>
            </wp:positionV>
            <wp:extent cx="3020060" cy="249682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249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Description</w:t>
      </w:r>
    </w:p>
    <w:p>
      <w:pPr>
        <w:pStyle w:val="Normal"/>
        <w:spacing w:lineRule="atLeast" w:line="24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  <w:t>The refinancing of Riverside III with a bridge facility of £159.5m</w:t>
      </w:r>
    </w:p>
    <w:p>
      <w:pPr>
        <w:pStyle w:val="Normal"/>
        <w:spacing w:lineRule="atLeast" w:line="24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</w:r>
    </w:p>
    <w:p>
      <w:pPr>
        <w:pStyle w:val="Heading1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Rationale</w:t>
      </w:r>
    </w:p>
    <w:p>
      <w:pPr>
        <w:pStyle w:val="Normal"/>
        <w:numPr>
          <w:ilvl w:val="0"/>
          <w:numId w:val="7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Retain strategic control </w:t>
      </w:r>
    </w:p>
    <w:p>
      <w:pPr>
        <w:pStyle w:val="Normal"/>
        <w:numPr>
          <w:ilvl w:val="0"/>
          <w:numId w:val="7"/>
        </w:numPr>
        <w:rPr>
          <w:rFonts w:ascii="Tahoma" w:hAnsi="Tahoma" w:cs="Tahoma"/>
        </w:rPr>
      </w:pPr>
      <w:r>
        <w:rPr>
          <w:rFonts w:cs="Tahoma" w:ascii="Tahoma" w:hAnsi="Tahoma"/>
        </w:rPr>
        <w:t>Keep the structure off balance sheet</w:t>
      </w:r>
    </w:p>
    <w:p>
      <w:pPr>
        <w:pStyle w:val="Normal"/>
        <w:numPr>
          <w:ilvl w:val="0"/>
          <w:numId w:val="7"/>
        </w:numPr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  <w:lang w:val="en-AU" w:eastAsia="en-US"/>
        </w:rPr>
        <w:t>Transfer of risk through a complex structure</w:t>
      </w:r>
      <w:r>
        <w:rPr>
          <w:rFonts w:cs="Tahoma" w:ascii="Tahoma" w:hAnsi="Tahoma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1"/>
        <w:spacing w:lineRule="auto" w:line="240"/>
        <w:ind w:hanging="0" w:start="0"/>
        <w:rPr>
          <w:rFonts w:ascii="Tahoma" w:hAnsi="Tahoma" w:cs="Tahoma"/>
          <w:lang w:val="en-GB" w:eastAsia="en-CA"/>
        </w:rPr>
      </w:pPr>
      <w:r>
        <w:rPr>
          <w:rFonts w:cs="Tahoma" w:ascii="Tahoma" w:hAnsi="Tahoma"/>
          <w:lang w:val="en-GB" w:eastAsia="en-CA"/>
        </w:rPr>
        <w:t xml:space="preserve">Transaction Mechanics </w:t>
      </w:r>
    </w:p>
    <w:p>
      <w:pPr>
        <w:pStyle w:val="Normal"/>
        <w:numPr>
          <w:ilvl w:val="0"/>
          <w:numId w:val="8"/>
        </w:numPr>
        <w:spacing w:lineRule="atLeast" w:line="24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  <w:t>The proceeds from the transaction effectively refinance a prior Teesside equity monetisation Riverside III (EEP2 repays its BTI loan worth £154m+interest)</w:t>
      </w:r>
    </w:p>
    <w:p>
      <w:pPr>
        <w:pStyle w:val="Normal"/>
        <w:numPr>
          <w:ilvl w:val="0"/>
          <w:numId w:val="8"/>
        </w:numPr>
        <w:spacing w:lineRule="atLeast" w:line="24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  <w:t>The deal is split into two tranches worth £159.5 m underwritten by Barclays Bank</w:t>
      </w:r>
    </w:p>
    <w:p>
      <w:pPr>
        <w:pStyle w:val="Normal"/>
        <w:spacing w:lineRule="atLeast" w:line="24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</w:r>
    </w:p>
    <w:p>
      <w:pPr>
        <w:pStyle w:val="Normal"/>
        <w:spacing w:lineRule="atLeast" w:line="240"/>
        <w:ind w:start="360" w:end="0"/>
        <w:rPr/>
      </w:pPr>
      <w:r>
        <w:rPr>
          <w:rFonts w:cs="Tahoma" w:ascii="Tahoma" w:hAnsi="Tahoma"/>
          <w:u w:val="single"/>
          <w:lang w:val="en-AU" w:eastAsia="en-US"/>
        </w:rPr>
        <w:t>Tranche A</w:t>
      </w:r>
      <w:r>
        <w:rPr>
          <w:rFonts w:cs="Tahoma" w:ascii="Tahoma" w:hAnsi="Tahoma"/>
          <w:lang w:val="en-AU" w:eastAsia="en-US"/>
        </w:rPr>
        <w:t xml:space="preserve">: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lineRule="atLeast" w:line="240"/>
        <w:ind w:hanging="360" w:start="720" w:end="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  <w:t>a 364 day £110m Term Loan; this bridge is put in place until replaced by bond (OrangUtan)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spacing w:lineRule="atLeast" w:line="240"/>
        <w:ind w:hanging="360" w:start="720" w:end="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  <w:t>will be prepaid in April 1999 from the proceeds to the bond OrangUtan</w:t>
      </w:r>
      <w:r>
        <w:rPr>
          <w:rFonts w:eastAsia="Monotype Sorts" w:cs="Monotype Sorts" w:ascii="Monotype Sorts" w:hAnsi="Monotype Sorts"/>
        </w:rPr>
        <w:sym w:font="Monotype Sorts" w:char="f04f"/>
      </w:r>
    </w:p>
    <w:p>
      <w:pPr>
        <w:pStyle w:val="Normal"/>
        <w:spacing w:lineRule="atLeast" w:line="24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</w:r>
    </w:p>
    <w:p>
      <w:pPr>
        <w:pStyle w:val="Normal"/>
        <w:spacing w:lineRule="atLeast" w:line="240"/>
        <w:ind w:start="360" w:end="0"/>
        <w:rPr/>
      </w:pPr>
      <w:r>
        <w:rPr>
          <w:rFonts w:cs="Tahoma" w:ascii="Tahoma" w:hAnsi="Tahoma"/>
          <w:u w:val="single"/>
          <w:lang w:val="en-AU" w:eastAsia="en-US"/>
        </w:rPr>
        <w:t>Tranche B</w:t>
      </w:r>
      <w:r>
        <w:rPr>
          <w:rFonts w:cs="Tahoma" w:ascii="Tahoma" w:hAnsi="Tahoma"/>
          <w:lang w:val="en-AU" w:eastAsia="en-US"/>
        </w:rPr>
        <w:t xml:space="preserve">: 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lineRule="atLeast" w:line="240"/>
        <w:ind w:hanging="360" w:start="720" w:end="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  <w:t xml:space="preserve">a 3 year £49.5m bank financed tranche into the London syndicated loans market. 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spacing w:lineRule="atLeast" w:line="240"/>
        <w:ind w:hanging="360" w:start="720" w:end="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  <w:t>Bank: Barlays Capital Bank</w:t>
      </w:r>
    </w:p>
    <w:p>
      <w:pPr>
        <w:pStyle w:val="Normal"/>
        <w:spacing w:lineRule="atLeast" w:line="240"/>
        <w:ind w:start="360" w:end="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</w:r>
    </w:p>
    <w:p>
      <w:pPr>
        <w:pStyle w:val="Normal"/>
        <w:numPr>
          <w:ilvl w:val="0"/>
          <w:numId w:val="15"/>
        </w:numPr>
        <w:spacing w:lineRule="atLeast" w:line="24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  <w:t>After EEP2 repays its loan to BTI, it subsequently changes status - it is not longer a QSPE and thus can lend surplus funds to EEL.</w:t>
      </w:r>
    </w:p>
    <w:p>
      <w:pPr>
        <w:pStyle w:val="Normal"/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</w:r>
    </w:p>
    <w:p>
      <w:pPr>
        <w:pStyle w:val="Heading4"/>
        <w:ind w:hanging="0" w:start="0"/>
        <w:jc w:val="start"/>
        <w:rPr/>
      </w:pPr>
      <w:r>
        <w:rPr>
          <w:rFonts w:eastAsia="Monotype Sorts" w:cs="Monotype Sorts" w:ascii="Monotype Sorts" w:hAnsi="Monotype Sorts"/>
          <w:sz w:val="24"/>
        </w:rPr>
        <w:sym w:font="Monotype Sorts" w:char="f04f"/>
      </w:r>
      <w:r>
        <w:rPr>
          <w:sz w:val="24"/>
        </w:rPr>
        <w:t>OrangUtan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spacing w:lineRule="auto" w:line="240"/>
        <w:ind w:hanging="0" w:start="0"/>
        <w:rPr>
          <w:rFonts w:ascii="Tahoma" w:hAnsi="Tahoma" w:cs="Tahoma"/>
          <w:lang w:val="en-GB" w:eastAsia="en-CA"/>
        </w:rPr>
      </w:pPr>
      <w:r>
        <w:rPr>
          <w:rFonts w:cs="Tahoma" w:ascii="Tahoma" w:hAnsi="Tahoma"/>
          <w:lang w:val="en-GB" w:eastAsia="en-CA"/>
        </w:rPr>
        <w:t>Description</w:t>
      </w:r>
    </w:p>
    <w:p>
      <w:pPr>
        <w:pStyle w:val="Normal"/>
        <w:rPr/>
      </w:pPr>
      <w:r>
        <w:rPr>
          <w:rFonts w:cs="Tahoma" w:ascii="Tahoma" w:hAnsi="Tahoma"/>
        </w:rPr>
        <w:t xml:space="preserve">OrangUtan is a </w:t>
      </w:r>
      <w:r>
        <w:rPr>
          <w:rFonts w:cs="Tahoma" w:ascii="Tahoma" w:hAnsi="Tahoma"/>
          <w:lang w:val="en-AU" w:eastAsia="en-US"/>
        </w:rPr>
        <w:t>private placement to US/UK institutional investors</w:t>
      </w:r>
      <w:r>
        <w:rPr>
          <w:rFonts w:cs="Tahoma" w:ascii="Tahoma" w:hAnsi="Tahoma"/>
        </w:rPr>
        <w:t xml:space="preserve">  (9-year bond replacing a bridge facility worth £110m)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odyText"/>
        <w:rPr>
          <w:b/>
        </w:rPr>
      </w:pPr>
      <w:r>
        <w:rPr>
          <w:b/>
        </w:rPr>
        <w:t>Transaction mechanics</w:t>
      </w:r>
    </w:p>
    <w:p>
      <w:pPr>
        <w:pStyle w:val="BodyText"/>
        <w:numPr>
          <w:ilvl w:val="0"/>
          <w:numId w:val="9"/>
        </w:numPr>
        <w:rPr/>
      </w:pPr>
      <w:r>
        <w:rPr/>
        <w:t>TPFL is created as a new entity (QSPE).  Because its is 100% owned by EEP3 (QSPE), it is not consolidated</w:t>
      </w:r>
    </w:p>
    <w:p>
      <w:pPr>
        <w:pStyle w:val="Normal"/>
        <w:numPr>
          <w:ilvl w:val="0"/>
          <w:numId w:val="21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TPFL issues bond denominated in USD and GBP, with maturity 9 years:</w:t>
      </w:r>
    </w:p>
    <w:p>
      <w:pPr>
        <w:pStyle w:val="Normal"/>
        <w:numPr>
          <w:ilvl w:val="0"/>
          <w:numId w:val="5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(US$121m) = £75m</w:t>
      </w:r>
    </w:p>
    <w:p>
      <w:pPr>
        <w:pStyle w:val="Normal"/>
        <w:numPr>
          <w:ilvl w:val="0"/>
          <w:numId w:val="5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£35m</w:t>
      </w:r>
    </w:p>
    <w:p>
      <w:pPr>
        <w:pStyle w:val="Normal"/>
        <w:numPr>
          <w:ilvl w:val="0"/>
          <w:numId w:val="18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Upon the issue of the bonds, TPFL will lend the proceeds to EEP1 – which then lends them to EEP3 to prepay the Tranche A</w:t>
      </w:r>
    </w:p>
    <w:p>
      <w:pPr>
        <w:pStyle w:val="Normal"/>
        <w:numPr>
          <w:ilvl w:val="0"/>
          <w:numId w:val="12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The holders of the bonds have priority over any dividend streams</w:t>
      </w:r>
    </w:p>
    <w:p>
      <w:pPr>
        <w:pStyle w:val="Normal"/>
        <w:numPr>
          <w:ilvl w:val="0"/>
          <w:numId w:val="12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 xml:space="preserve">Under the FX swap, TPFL is receiving payments of £110m, which it subsequently loans to EEL.  With £110m and other cash, EEL can repay the facility of £159.5m EEP3 had with Barclays. </w:t>
      </w:r>
    </w:p>
    <w:p>
      <w:pPr>
        <w:pStyle w:val="Normal"/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</w:r>
    </w:p>
    <w:p>
      <w:pPr>
        <w:pStyle w:val="Heading5"/>
        <w:ind w:hanging="0" w:start="0"/>
        <w:rPr/>
      </w:pPr>
      <w:r>
        <w:rPr/>
        <w:t>Advantages of Riverside VI</w:t>
      </w:r>
    </w:p>
    <w:p>
      <w:pPr>
        <w:pStyle w:val="Normal"/>
        <w:spacing w:lineRule="atLeast" w:line="24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  <w:t xml:space="preserve">The transaction provides Enron with an excellent solution for this maturing liability, with numerous advantages from this structured approach: </w:t>
      </w:r>
    </w:p>
    <w:p>
      <w:pPr>
        <w:pStyle w:val="Normal"/>
        <w:spacing w:lineRule="atLeast" w:line="24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</w:r>
    </w:p>
    <w:p>
      <w:pPr>
        <w:pStyle w:val="Normal"/>
        <w:numPr>
          <w:ilvl w:val="0"/>
          <w:numId w:val="17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 xml:space="preserve">The $58m (£22.5m) earnings gain from Riverside III is unaffected and crystallizes; </w:t>
      </w:r>
    </w:p>
    <w:p>
      <w:pPr>
        <w:pStyle w:val="BodyTextIndent"/>
        <w:numPr>
          <w:ilvl w:val="0"/>
          <w:numId w:val="10"/>
        </w:numPr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Real economic risk transfer has been achieved on the future contracted Teesside dividend stream, with all the earnings upside retained. </w:t>
      </w:r>
    </w:p>
    <w:p>
      <w:pPr>
        <w:pStyle w:val="Normal"/>
        <w:numPr>
          <w:ilvl w:val="0"/>
          <w:numId w:val="10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 xml:space="preserve">There is no dilution of management control or voting rights; </w:t>
      </w:r>
    </w:p>
    <w:p>
      <w:pPr>
        <w:pStyle w:val="Normal"/>
        <w:numPr>
          <w:ilvl w:val="0"/>
          <w:numId w:val="10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 xml:space="preserve">The structure remains off balance sheet; </w:t>
      </w:r>
    </w:p>
    <w:p>
      <w:pPr>
        <w:pStyle w:val="Normal"/>
        <w:numPr>
          <w:ilvl w:val="0"/>
          <w:numId w:val="10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US / UK institutional investors take out a transaction previously funded through Enron bank capacity</w:t>
      </w:r>
    </w:p>
    <w:p>
      <w:pPr>
        <w:pStyle w:val="Normal"/>
        <w:numPr>
          <w:ilvl w:val="0"/>
          <w:numId w:val="10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 xml:space="preserve">With bond issue, $180m Enron Corp guarantee has been released which supported the previous transaction – that means we achieved </w:t>
      </w:r>
      <w:r>
        <w:rPr>
          <w:rFonts w:cs="Tahoma" w:ascii="Tahoma" w:hAnsi="Tahoma"/>
          <w:color w:val="000000"/>
          <w:u w:val="single"/>
          <w:lang w:val="en-AU" w:eastAsia="en-US"/>
        </w:rPr>
        <w:t>non-recourse</w:t>
      </w:r>
      <w:r>
        <w:rPr>
          <w:rFonts w:cs="Tahoma" w:ascii="Tahoma" w:hAnsi="Tahoma"/>
          <w:color w:val="000000"/>
          <w:lang w:val="en-AU" w:eastAsia="en-US"/>
        </w:rPr>
        <w:t xml:space="preserve"> financing</w:t>
      </w:r>
    </w:p>
    <w:p>
      <w:pPr>
        <w:pStyle w:val="Normal"/>
        <w:numPr>
          <w:ilvl w:val="0"/>
          <w:numId w:val="10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 xml:space="preserve">Bond issue also effectively changes the short term to </w:t>
      </w:r>
      <w:r>
        <w:rPr>
          <w:rFonts w:cs="Tahoma" w:ascii="Tahoma" w:hAnsi="Tahoma"/>
          <w:color w:val="000000"/>
          <w:u w:val="single"/>
          <w:lang w:val="en-AU" w:eastAsia="en-US"/>
        </w:rPr>
        <w:t xml:space="preserve">long term </w:t>
      </w:r>
      <w:r>
        <w:rPr>
          <w:rFonts w:cs="Tahoma" w:ascii="Tahoma" w:hAnsi="Tahoma"/>
          <w:color w:val="000000"/>
          <w:lang w:val="en-AU" w:eastAsia="en-US"/>
        </w:rPr>
        <w:t>financing</w:t>
      </w:r>
    </w:p>
    <w:p>
      <w:pPr>
        <w:pStyle w:val="Normal"/>
        <w:numPr>
          <w:ilvl w:val="0"/>
          <w:numId w:val="10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Barclays reaches 100% sell down in the bank tranche</w:t>
      </w:r>
    </w:p>
    <w:p>
      <w:pPr>
        <w:pStyle w:val="Normal"/>
        <w:numPr>
          <w:ilvl w:val="0"/>
          <w:numId w:val="20"/>
        </w:numPr>
        <w:spacing w:lineRule="atLeast" w:line="24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  <w:t xml:space="preserve">Despite its structural subordination and complexity, the transaction achieved a BB credit rating from S&amp;P. </w:t>
      </w:r>
    </w:p>
    <w:p>
      <w:pPr>
        <w:pStyle w:val="Normal"/>
        <w:spacing w:lineRule="atLeast" w:line="240"/>
        <w:rPr>
          <w:rFonts w:ascii="Tahoma" w:hAnsi="Tahoma" w:cs="Tahoma"/>
          <w:lang w:val="en-AU" w:eastAsia="en-US"/>
        </w:rPr>
      </w:pPr>
      <w:r>
        <w:rPr>
          <w:rFonts w:cs="Tahoma" w:ascii="Tahoma" w:hAnsi="Tahoma"/>
          <w:lang w:val="en-AU" w:eastAsia="en-US"/>
        </w:rPr>
      </w:r>
    </w:p>
    <w:p>
      <w:pPr>
        <w:pStyle w:val="Heading1"/>
        <w:spacing w:lineRule="auto" w:line="240"/>
        <w:ind w:hanging="0" w:start="0"/>
        <w:rPr>
          <w:rFonts w:ascii="Tahoma" w:hAnsi="Tahoma" w:cs="Tahoma"/>
          <w:lang w:val="en-GB" w:eastAsia="en-CA"/>
        </w:rPr>
      </w:pPr>
      <w:r>
        <w:rPr>
          <w:rFonts w:cs="Tahoma" w:ascii="Tahoma" w:hAnsi="Tahoma"/>
          <w:lang w:val="en-GB" w:eastAsia="en-CA"/>
        </w:rPr>
        <w:t>Accounting - issue &amp; finance costs</w:t>
        <w:tab/>
        <w:tab/>
        <w:tab/>
        <w:tab/>
        <w:tab/>
        <w:tab/>
        <w:tab/>
        <w:tab/>
      </w:r>
    </w:p>
    <w:p>
      <w:pPr>
        <w:pStyle w:val="Heading2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 xml:space="preserve">US GAAP </w:t>
      </w:r>
    </w:p>
    <w:p>
      <w:pPr>
        <w:pStyle w:val="Normal"/>
        <w:numPr>
          <w:ilvl w:val="0"/>
          <w:numId w:val="3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bond issue costs are capitalised as deferred charges &amp; amortised on a straight-line basis over the term of the bonds (i.e. 9 years). </w:t>
        <w:tab/>
        <w:tab/>
        <w:tab/>
        <w:tab/>
        <w:tab/>
        <w:tab/>
        <w:tab/>
      </w:r>
    </w:p>
    <w:p>
      <w:pPr>
        <w:pStyle w:val="Normal"/>
        <w:numPr>
          <w:ilvl w:val="0"/>
          <w:numId w:val="13"/>
        </w:numPr>
        <w:rPr>
          <w:rFonts w:ascii="Tahoma" w:hAnsi="Tahoma" w:cs="Tahoma"/>
        </w:rPr>
      </w:pPr>
      <w:r>
        <w:rPr>
          <w:rFonts w:cs="Tahoma" w:ascii="Tahoma" w:hAnsi="Tahoma"/>
        </w:rPr>
        <w:t>Interest is charged when due.</w:t>
        <w:tab/>
        <w:tab/>
      </w:r>
    </w:p>
    <w:p>
      <w:pPr>
        <w:pStyle w:val="Heading2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UK GAAP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bond issue costs are capitalised &amp; set off against the debt; then amortised used the effective interest rate</w:t>
      </w:r>
    </w:p>
    <w:p>
      <w:pPr>
        <w:pStyle w:val="Normal"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Under FRS 4, finance costs on debt (difference between net proceeds &amp; total amounts of payments) should be allocated to accounting periods so as to give a constant rate of charge on the carrying amount.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ind w:hanging="0" w:start="0"/>
        <w:rPr>
          <w:rFonts w:ascii="Tahoma" w:hAnsi="Tahoma" w:cs="Tahoma"/>
          <w:b/>
          <w:u w:val="none"/>
        </w:rPr>
      </w:pPr>
      <w:r>
        <w:rPr>
          <w:rFonts w:cs="Tahoma" w:ascii="Tahoma" w:hAnsi="Tahoma"/>
          <w:b/>
          <w:u w:val="none"/>
        </w:rPr>
        <w:t>Consolidation</w:t>
      </w:r>
    </w:p>
    <w:p>
      <w:pPr>
        <w:pStyle w:val="Heading2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US GAAP</w:t>
      </w:r>
      <w:r>
        <w:rPr>
          <w:rFonts w:cs="Tahoma" w:ascii="Tahoma" w:hAnsi="Tahoma"/>
          <w:u w:val="non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6"/>
        </w:numPr>
        <w:rPr>
          <w:rFonts w:ascii="Tahoma" w:hAnsi="Tahoma" w:cs="Tahoma"/>
        </w:rPr>
      </w:pPr>
      <w:r>
        <w:rPr>
          <w:rFonts w:cs="Tahoma" w:ascii="Tahoma" w:hAnsi="Tahoma"/>
        </w:rPr>
        <w:t>TPFL is 100% owned by EEP3 which is a QSPE &amp; so neither are consolidated.</w:t>
        <w:tab/>
      </w:r>
    </w:p>
    <w:p>
      <w:pPr>
        <w:pStyle w:val="Heading2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UK GAAP</w:t>
      </w:r>
    </w:p>
    <w:p>
      <w:pPr>
        <w:pStyle w:val="Normal"/>
        <w:numPr>
          <w:ilvl w:val="0"/>
          <w:numId w:val="11"/>
        </w:numPr>
        <w:rPr>
          <w:rFonts w:ascii="Tahoma" w:hAnsi="Tahoma" w:cs="Tahoma"/>
        </w:rPr>
      </w:pPr>
      <w:r>
        <w:rPr>
          <w:rFonts w:cs="Tahoma" w:ascii="Tahoma" w:hAnsi="Tahoma"/>
        </w:rPr>
        <w:t>Fully consolidated – debt on balance sheet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ab/>
        <w:tab/>
      </w:r>
    </w:p>
    <w:sectPr>
      <w:type w:val="nextPage"/>
      <w:pgSz w:w="11906" w:h="16838"/>
      <w:pgMar w:left="1418" w:right="141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Monotype Sort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Helv;Arial" w:hAnsi="Helv;Arial" w:cs="Helv;Arial"/>
      <w:b/>
      <w:lang w:val="en-AU"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/>
      <w:jc w:val="center"/>
      <w:outlineLvl w:val="2"/>
    </w:pPr>
    <w:rPr>
      <w:rFonts w:ascii="Tahoma" w:hAnsi="Tahoma" w:cs="Tahoma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tLeast" w:line="240"/>
      <w:jc w:val="center"/>
      <w:outlineLvl w:val="3"/>
    </w:pPr>
    <w:rPr>
      <w:rFonts w:ascii="Tahoma" w:hAnsi="Tahoma" w:cs="Tahoma"/>
      <w:b/>
      <w:sz w:val="28"/>
      <w:lang w:val="en-AU"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tLeast" w:line="240"/>
      <w:outlineLvl w:val="4"/>
    </w:pPr>
    <w:rPr>
      <w:rFonts w:ascii="Tahoma" w:hAnsi="Tahoma" w:cs="Tahoma"/>
      <w:b/>
      <w:color w:val="000000"/>
      <w:lang w:val="en-AU"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</w:rPr>
  </w:style>
  <w:style w:type="paragraph" w:styleId="BodyText">
    <w:name w:val="Body Text"/>
    <w:basedOn w:val="Normal"/>
    <w:pPr>
      <w:spacing w:lineRule="atLeast" w:line="240"/>
    </w:pPr>
    <w:rPr>
      <w:rFonts w:ascii="Tahoma" w:hAnsi="Tahoma" w:cs="Tahoma"/>
      <w:color w:val="000000"/>
      <w:lang w:val="en-AU"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lineRule="atLeast" w:line="240"/>
      <w:ind w:hanging="0" w:start="360" w:end="0"/>
    </w:pPr>
    <w:rPr>
      <w:rFonts w:ascii="Helv;Arial" w:hAnsi="Helv;Arial" w:cs="Helv;Arial"/>
      <w:color w:val="0000FF"/>
      <w:lang w:val="en-AU"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2000-03-02T12:29:00Z</dcterms:created>
  <dc:creator>ZStrmeno</dc:creator>
  <dc:description/>
  <dc:language>en-CA</dc:language>
  <cp:lastModifiedBy>ZStrmeno</cp:lastModifiedBy>
  <cp:lastPrinted>2000-03-03T12:28:00Z</cp:lastPrinted>
  <dcterms:modified xsi:type="dcterms:W3CDTF">2000-03-03T13:39:00Z</dcterms:modified>
  <cp:revision>10</cp:revision>
  <dc:subject/>
  <dc:title>Riverside VI</dc:title>
</cp:coreProperties>
</file>