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r>
    </w:p>
    <w:p>
      <w:pPr>
        <w:pStyle w:val="Normal"/>
        <w:jc w:val="center"/>
        <w:rPr>
          <w:rFonts w:ascii="Times New Roman" w:hAnsi="Times New Roman" w:cs="Times New Roman"/>
          <w:b/>
          <w:sz w:val="30"/>
        </w:rPr>
      </w:pPr>
      <w:r>
        <w:rPr>
          <w:rFonts w:cs="Times New Roman" w:ascii="Times New Roman" w:hAnsi="Times New Roman"/>
          <w:b/>
          <w:sz w:val="30"/>
        </w:rPr>
        <w:t>UNITED STATES OF AMERICA</w:t>
      </w:r>
    </w:p>
    <w:p>
      <w:pPr>
        <w:pStyle w:val="Normal"/>
        <w:jc w:val="center"/>
        <w:rPr>
          <w:rFonts w:ascii="Times New Roman" w:hAnsi="Times New Roman" w:cs="Times New Roman"/>
          <w:b/>
          <w:sz w:val="30"/>
        </w:rPr>
      </w:pPr>
      <w:r>
        <w:rPr>
          <w:rFonts w:cs="Times New Roman" w:ascii="Times New Roman" w:hAnsi="Times New Roman"/>
          <w:b/>
          <w:sz w:val="30"/>
        </w:rPr>
        <w:t>BEFORE THE</w:t>
      </w:r>
    </w:p>
    <w:p>
      <w:pPr>
        <w:pStyle w:val="Normal"/>
        <w:jc w:val="center"/>
        <w:rPr>
          <w:rFonts w:ascii="Times New Roman" w:hAnsi="Times New Roman" w:cs="Times New Roman"/>
          <w:b/>
          <w:sz w:val="30"/>
        </w:rPr>
      </w:pPr>
      <w:r>
        <w:rPr>
          <w:rFonts w:cs="Times New Roman" w:ascii="Times New Roman" w:hAnsi="Times New Roman"/>
          <w:b/>
          <w:sz w:val="30"/>
        </w:rPr>
        <w:t>FEDERAL ENERGY REGULATORY COMMISSION</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b/>
          <w:sz w:val="24"/>
        </w:rPr>
      </w:pPr>
      <w:r>
        <w:rPr>
          <w:rFonts w:cs="Times New Roman" w:ascii="Times New Roman" w:hAnsi="Times New Roman"/>
          <w:b/>
          <w:sz w:val="24"/>
        </w:rPr>
      </w:r>
    </w:p>
    <w:tbl>
      <w:tblPr>
        <w:tblW w:w="8640" w:type="dxa"/>
        <w:jc w:val="start"/>
        <w:tblInd w:w="0" w:type="dxa"/>
        <w:tblLayout w:type="fixed"/>
        <w:tblCellMar>
          <w:top w:w="0" w:type="dxa"/>
          <w:start w:w="108" w:type="dxa"/>
          <w:bottom w:w="0" w:type="dxa"/>
          <w:end w:w="108" w:type="dxa"/>
        </w:tblCellMar>
      </w:tblPr>
      <w:tblGrid>
        <w:gridCol w:w="4522"/>
        <w:gridCol w:w="619"/>
        <w:gridCol w:w="3499"/>
      </w:tblGrid>
      <w:tr>
        <w:trPr/>
        <w:tc>
          <w:tcPr>
            <w:tcW w:w="4522" w:type="dxa"/>
            <w:tcBorders/>
          </w:tcPr>
          <w:p>
            <w:pPr>
              <w:pStyle w:val="Normal"/>
              <w:ind w:hanging="360" w:start="360" w:end="0"/>
              <w:rPr>
                <w:rFonts w:ascii="Times New Roman" w:hAnsi="Times New Roman" w:cs="Times New Roman"/>
                <w:b/>
                <w:sz w:val="24"/>
              </w:rPr>
            </w:pPr>
            <w:bookmarkStart w:id="0" w:name="case_name"/>
            <w:bookmarkEnd w:id="0"/>
            <w:r>
              <w:rPr>
                <w:rFonts w:cs="Times New Roman" w:ascii="Times New Roman" w:hAnsi="Times New Roman"/>
                <w:b/>
                <w:sz w:val="24"/>
              </w:rPr>
              <w:t>San Diego Gas &amp; Electric Company</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 xml:space="preserve">                           </w:t>
            </w:r>
            <w:r>
              <w:rPr>
                <w:rFonts w:cs="Times New Roman" w:ascii="Times New Roman" w:hAnsi="Times New Roman"/>
                <w:b/>
                <w:sz w:val="24"/>
              </w:rPr>
              <w:t>v.</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t>Sellers of Energy and Ancillary Services Into Markets Operated By the California Independent System Operator Corporation and the California Power Exchange Corporation</w:t>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tc>
        <w:tc>
          <w:tcPr>
            <w:tcW w:w="619" w:type="dxa"/>
            <w:tcBorders/>
          </w:tcPr>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t>)</w:t>
            </w:r>
          </w:p>
          <w:p>
            <w:pPr>
              <w:pStyle w:val="Normal"/>
              <w:jc w:val="center"/>
              <w:rPr>
                <w:rFonts w:ascii="Times New Roman" w:hAnsi="Times New Roman" w:cs="Times New Roman"/>
                <w:b/>
                <w:sz w:val="24"/>
              </w:rPr>
            </w:pPr>
            <w:r>
              <w:rPr>
                <w:rFonts w:cs="Times New Roman" w:ascii="Times New Roman" w:hAnsi="Times New Roman"/>
                <w:b/>
                <w:sz w:val="24"/>
              </w:rPr>
            </w:r>
          </w:p>
        </w:tc>
        <w:tc>
          <w:tcPr>
            <w:tcW w:w="3499" w:type="dxa"/>
            <w:tcBorders/>
          </w:tcPr>
          <w:p>
            <w:pPr>
              <w:pStyle w:val="Normal"/>
              <w:snapToGrid w:val="false"/>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sz w:val="24"/>
              </w:rPr>
            </w:pPr>
            <w:r>
              <w:rPr>
                <w:rFonts w:cs="Times New Roman" w:ascii="Times New Roman" w:hAnsi="Times New Roman"/>
                <w:b/>
                <w:sz w:val="24"/>
              </w:rPr>
            </w:r>
          </w:p>
          <w:p>
            <w:pPr>
              <w:pStyle w:val="Normal"/>
              <w:ind w:hanging="360" w:start="360" w:end="0"/>
              <w:rPr>
                <w:rFonts w:ascii="Times New Roman" w:hAnsi="Times New Roman" w:cs="Times New Roman"/>
                <w:b/>
                <w:i/>
                <w:i/>
                <w:sz w:val="24"/>
              </w:rPr>
            </w:pPr>
            <w:r>
              <w:rPr>
                <w:rFonts w:cs="Times New Roman" w:ascii="Times New Roman" w:hAnsi="Times New Roman"/>
                <w:b/>
                <w:sz w:val="24"/>
              </w:rPr>
              <w:t xml:space="preserve">Dockets Nos. </w:t>
            </w:r>
            <w:bookmarkStart w:id="1" w:name="docket_nos"/>
            <w:bookmarkEnd w:id="1"/>
            <w:r>
              <w:rPr>
                <w:rFonts w:cs="Times New Roman" w:ascii="Times New Roman" w:hAnsi="Times New Roman"/>
                <w:b/>
                <w:sz w:val="24"/>
              </w:rPr>
              <w:t>EL00-95-045 and EL00-98-042</w:t>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p>
            <w:pPr>
              <w:pStyle w:val="Normal"/>
              <w:ind w:hanging="360" w:start="360" w:end="0"/>
              <w:rPr>
                <w:rFonts w:ascii="Times New Roman" w:hAnsi="Times New Roman" w:cs="Times New Roman"/>
                <w:b/>
                <w:i/>
                <w:i/>
                <w:sz w:val="24"/>
              </w:rPr>
            </w:pPr>
            <w:r>
              <w:rPr>
                <w:rFonts w:cs="Times New Roman" w:ascii="Times New Roman" w:hAnsi="Times New Roman"/>
                <w:b/>
                <w:i/>
                <w:sz w:val="24"/>
              </w:rPr>
            </w:r>
          </w:p>
        </w:tc>
      </w:tr>
    </w:tbl>
    <w:p>
      <w:pPr>
        <w:pStyle w:val="ListNumber"/>
        <w:numPr>
          <w:ilvl w:val="0"/>
          <w:numId w:val="0"/>
        </w:numPr>
        <w:ind w:hanging="0" w:start="0"/>
        <w:rPr>
          <w:b/>
        </w:rPr>
      </w:pPr>
      <w:r>
        <w:rPr>
          <w:b/>
        </w:rPr>
      </w:r>
    </w:p>
    <w:p>
      <w:pPr>
        <w:pStyle w:val="ListNumber"/>
        <w:numPr>
          <w:ilvl w:val="0"/>
          <w:numId w:val="0"/>
        </w:numPr>
        <w:ind w:hanging="0" w:start="0"/>
        <w:rPr>
          <w:b/>
        </w:rPr>
      </w:pPr>
      <w:r>
        <w:rPr>
          <w:b/>
        </w:rPr>
      </w:r>
    </w:p>
    <w:p>
      <w:pPr>
        <w:pStyle w:val="ListNumber"/>
        <w:numPr>
          <w:ilvl w:val="0"/>
          <w:numId w:val="0"/>
        </w:numPr>
        <w:ind w:hanging="0" w:start="0"/>
        <w:jc w:val="center"/>
        <w:rPr>
          <w:b/>
        </w:rPr>
      </w:pPr>
      <w:r>
        <w:rPr>
          <w:b/>
        </w:rPr>
        <w:t>RESPONSE OF THE CITY OF RIVERSIDE, CALIFORNIA</w:t>
      </w:r>
    </w:p>
    <w:p>
      <w:pPr>
        <w:pStyle w:val="ListNumber"/>
        <w:numPr>
          <w:ilvl w:val="0"/>
          <w:numId w:val="0"/>
        </w:numPr>
        <w:ind w:hanging="0" w:start="0"/>
        <w:jc w:val="center"/>
        <w:rPr>
          <w:b/>
        </w:rPr>
      </w:pPr>
      <w:r>
        <w:rPr>
          <w:b/>
        </w:rPr>
        <w:t>TO THE FIRST SET OF DATA REQUESTS OF FERC STAFF</w:t>
      </w:r>
    </w:p>
    <w:p>
      <w:pPr>
        <w:pStyle w:val="ListNumber"/>
        <w:numPr>
          <w:ilvl w:val="0"/>
          <w:numId w:val="0"/>
        </w:numPr>
        <w:ind w:hanging="0" w:start="0"/>
        <w:rPr>
          <w:b/>
        </w:rPr>
      </w:pPr>
      <w:r>
        <w:rPr>
          <w:b/>
        </w:rPr>
      </w:r>
    </w:p>
    <w:p>
      <w:pPr>
        <w:pStyle w:val="ListNumber"/>
        <w:numPr>
          <w:ilvl w:val="0"/>
          <w:numId w:val="0"/>
        </w:numPr>
        <w:ind w:hanging="0" w:start="0"/>
        <w:jc w:val="start"/>
        <w:rPr/>
      </w:pPr>
      <w:r>
        <w:rPr/>
        <w:tab/>
        <w:t>The City of Riverside, California hereby responds to the First Set of Data Requests of the Federal Energy Regulatory Commission (“FERC”) Staff as follows:</w:t>
      </w:r>
    </w:p>
    <w:p>
      <w:pPr>
        <w:pStyle w:val="ListNumber"/>
        <w:numPr>
          <w:ilvl w:val="0"/>
          <w:numId w:val="0"/>
        </w:numPr>
        <w:ind w:hanging="0" w:start="0"/>
        <w:rPr/>
      </w:pPr>
      <w:r>
        <w:rPr/>
      </w:r>
    </w:p>
    <w:p>
      <w:pPr>
        <w:pStyle w:val="Normal"/>
        <w:rPr>
          <w:rFonts w:ascii="Times New Roman" w:hAnsi="Times New Roman" w:cs="Times New Roman"/>
          <w:sz w:val="24"/>
        </w:rPr>
      </w:pPr>
      <w:r>
        <w:rPr>
          <w:rFonts w:cs="Times New Roman" w:ascii="Times New Roman" w:hAnsi="Times New Roman"/>
          <w:b/>
          <w:sz w:val="24"/>
        </w:rPr>
        <w:t>Staff/Riverside-1</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Referring to Exhibit SOC-5, page 2, lines 22-23, please provide the California ISO notification that stated that Riverside was required to comply with the DOE emergency orders.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t>RESPONSE:</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sz w:val="24"/>
        </w:rPr>
      </w:pPr>
      <w:r>
        <w:rPr>
          <w:rFonts w:cs="Times New Roman" w:ascii="Times New Roman" w:hAnsi="Times New Roman"/>
          <w:sz w:val="24"/>
        </w:rPr>
        <w:t>In mid to late December 2000, the City of Riverside received the DOE certification letter of December 14 listing Riverside in Attachment A as one of the entities required to provide excess energy to the ISO.  Riverside received daily notifications from the California Independent System Operator (“ISO”) regarding the DOE emergency orders similar to those submitted to Staff by the City of Anaheim in response to Staff/ANA-1.  Unlike Anaheim, Riverside did not retain these email records.</w:t>
      </w:r>
    </w:p>
    <w:p>
      <w:pPr>
        <w:pStyle w:val="Normal"/>
        <w:rPr>
          <w:rFonts w:ascii="Times New Roman" w:hAnsi="Times New Roman" w:cs="Times New Roman"/>
          <w:sz w:val="24"/>
        </w:rPr>
      </w:pPr>
      <w:r>
        <w:rPr>
          <w:rFonts w:cs="Times New Roman" w:ascii="Times New Roman" w:hAnsi="Times New Roman"/>
          <w:sz w:val="24"/>
        </w:rPr>
      </w:r>
      <w:r>
        <w:br w:type="page"/>
      </w:r>
    </w:p>
    <w:p>
      <w:pPr>
        <w:pStyle w:val="Normal"/>
        <w:rPr>
          <w:rFonts w:ascii="Times New Roman" w:hAnsi="Times New Roman" w:cs="Times New Roman"/>
          <w:sz w:val="24"/>
        </w:rPr>
      </w:pPr>
      <w:r>
        <w:rPr>
          <w:rFonts w:cs="Times New Roman" w:ascii="Times New Roman" w:hAnsi="Times New Roman"/>
          <w:b/>
          <w:sz w:val="24"/>
        </w:rPr>
        <w:t>Staff/Riverside-2</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Referring to Exhibit SOC-5, page 2, lines17-19, Mr. Nolff states that Riverside sold a total of 15,373 MWh to the California ISO.  For each California ISO certification day that Riverside sold available excess energy or services to the California ISO, please specify, by hour, the amount and type of available excess energy or services the California ISO requested and agreed to purchase and the price.  Please reconcile your response with the 15,373 MWh amount stated.</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t>RESPONSE:</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sz w:val="24"/>
        </w:rPr>
      </w:pPr>
      <w:r>
        <w:rPr>
          <w:rFonts w:cs="Times New Roman" w:ascii="Times New Roman" w:hAnsi="Times New Roman"/>
          <w:sz w:val="24"/>
        </w:rPr>
        <w:t>The requested information for the sales made during the period when the DOE orders were in effect is provided in the attached file titled “Riverside Sales to CAISO During Periods of DOE Orders (Staff/Riverside-2).”</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Because the ISO’s 10-minute dispatch requirements prevent Riverside from bidding its surplus energy into the ISO’s Supplemental Energy markets, Riverside’s only mechanism for providing this energy to the ISO is through over-scheduling.  Riverside’s sales to the ISO for the refund period were all made through this over-scheduling mechanism.  During the periods in which the DOE orders were in effect, Riverside would routinely over-schedule its resources in this manner—even when specific requests were not made—in order to provide its surplus energy to the ISO.</w:t>
      </w:r>
    </w:p>
    <w:p>
      <w:pPr>
        <w:pStyle w:val="Normal"/>
        <w:rPr>
          <w:rFonts w:ascii="Times New Roman" w:hAnsi="Times New Roman" w:cs="Times New Roman"/>
          <w:sz w:val="24"/>
        </w:rPr>
      </w:pPr>
      <w:r>
        <w:rPr>
          <w:rFonts w:cs="Times New Roman" w:ascii="Times New Roman" w:hAnsi="Times New Roman"/>
          <w:sz w:val="24"/>
        </w:rPr>
      </w:r>
      <w:r>
        <w:br w:type="page"/>
      </w:r>
    </w:p>
    <w:p>
      <w:pPr>
        <w:pStyle w:val="Normal"/>
        <w:rPr>
          <w:rFonts w:ascii="Times New Roman" w:hAnsi="Times New Roman" w:cs="Times New Roman"/>
          <w:sz w:val="24"/>
        </w:rPr>
      </w:pPr>
      <w:r>
        <w:rPr>
          <w:rFonts w:cs="Times New Roman" w:ascii="Times New Roman" w:hAnsi="Times New Roman"/>
          <w:b/>
          <w:sz w:val="24"/>
        </w:rPr>
        <w:t>Staff/Riverside-3</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Please provide any documents, correspondence, communications, phone logs and the like, that demonstrate that Riverside entered into the transactions indicated in response to staff data request Staff/Riverside-2 in compliance with and pursuant to the DOE Orders.</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t>RESPONSE:</w:t>
      </w:r>
    </w:p>
    <w:p>
      <w:pPr>
        <w:pStyle w:val="Normal"/>
        <w:rPr>
          <w:rFonts w:ascii="Times New Roman" w:hAnsi="Times New Roman" w:cs="Times New Roman"/>
          <w:b/>
          <w:sz w:val="24"/>
        </w:rPr>
      </w:pPr>
      <w:r>
        <w:rPr>
          <w:rFonts w:cs="Times New Roman" w:ascii="Times New Roman" w:hAnsi="Times New Roman"/>
          <w:b/>
          <w:sz w:val="24"/>
        </w:rPr>
      </w:r>
    </w:p>
    <w:p>
      <w:pPr>
        <w:pStyle w:val="Normal"/>
        <w:rPr>
          <w:rFonts w:ascii="Times New Roman" w:hAnsi="Times New Roman" w:cs="Times New Roman"/>
          <w:sz w:val="24"/>
        </w:rPr>
      </w:pPr>
      <w:r>
        <w:rPr>
          <w:rFonts w:cs="Times New Roman" w:ascii="Times New Roman" w:hAnsi="Times New Roman"/>
          <w:sz w:val="24"/>
        </w:rPr>
        <w:t>As noted in response to Staff/Riverside-1, Riverside did not retain the email notifications of emergency conditions sent by the ISO.  Riverside does not possess any other documents, correspondence, communications, phone logs, or the like demonstrating that it entered into transactions pursuant to the DOE Orders.</w:t>
      </w:r>
      <w:r>
        <w:br w:type="page"/>
      </w:r>
    </w:p>
    <w:p>
      <w:pPr>
        <w:pStyle w:val="Normal"/>
        <w:rPr>
          <w:rFonts w:ascii="Times New Roman" w:hAnsi="Times New Roman" w:cs="Times New Roman"/>
          <w:sz w:val="24"/>
        </w:rPr>
      </w:pPr>
      <w:r>
        <w:rPr>
          <w:rFonts w:cs="Times New Roman" w:ascii="Times New Roman" w:hAnsi="Times New Roman"/>
          <w:b/>
          <w:sz w:val="24"/>
        </w:rPr>
        <w:t>Staff/Riverside-4</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Staff’s review of the summary refund calculations provided by the California ISO on August 15, 2001 shows that all energy provided during the refund period was uninstructed energy.  Is Riverside claiming that its sales of uninstructed energy on California ISO certifications days were pursuant to the DOE Orders?  Please explain.</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b/>
          <w:sz w:val="24"/>
        </w:rPr>
      </w:pPr>
      <w:r>
        <w:rPr>
          <w:rFonts w:cs="Times New Roman" w:ascii="Times New Roman" w:hAnsi="Times New Roman"/>
          <w:b/>
          <w:sz w:val="24"/>
        </w:rPr>
        <w:t>RESPONSE:</w:t>
      </w:r>
    </w:p>
    <w:p>
      <w:pPr>
        <w:pStyle w:val="Normal"/>
        <w:rPr>
          <w:rFonts w:ascii="Times New Roman" w:hAnsi="Times New Roman" w:cs="Times New Roman"/>
          <w:b/>
          <w:sz w:val="24"/>
        </w:rPr>
      </w:pPr>
      <w:r>
        <w:rPr>
          <w:rFonts w:cs="Times New Roman" w:ascii="Times New Roman" w:hAnsi="Times New Roman"/>
          <w:b/>
          <w:sz w:val="24"/>
        </w:rPr>
      </w:r>
    </w:p>
    <w:p>
      <w:pPr>
        <w:pStyle w:val="Normal"/>
        <w:rPr/>
      </w:pPr>
      <w:r>
        <w:rPr>
          <w:rFonts w:cs="Times New Roman" w:ascii="Times New Roman" w:hAnsi="Times New Roman"/>
          <w:sz w:val="24"/>
        </w:rPr>
        <w:t xml:space="preserve">The 15,373 MWh that Riverside sold to the ISO during the period when the DOE emergency orders were in effect consisted entirely of uninstructed energy.  As indicated on page 3 of Gary Nolff’s testimony in Ex. SOC-5, upon receipt of the ISO notifications regarding the DOE orders, Riverside believed that it had an obligation under the orders to provide </w:t>
      </w:r>
      <w:r>
        <w:rPr>
          <w:rFonts w:cs="Times New Roman" w:ascii="Times New Roman" w:hAnsi="Times New Roman"/>
          <w:i/>
          <w:sz w:val="24"/>
        </w:rPr>
        <w:t>all</w:t>
      </w:r>
      <w:r>
        <w:rPr>
          <w:rFonts w:cs="Times New Roman" w:ascii="Times New Roman" w:hAnsi="Times New Roman"/>
          <w:sz w:val="24"/>
        </w:rPr>
        <w:t xml:space="preserve"> of its surplus capacity to the ISO.  The orders did not differentiate between the obligation of covered parties to provide uninstructed energy and those parties’ obligation to provide instructed energy.</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Certification Regarding Preparation of Objection and Response:  The foregoing response was prepared by counsel for the City of Anaheim, California in consultation with Gary Nolff.</w:t>
      </w:r>
    </w:p>
    <w:p>
      <w:pPr>
        <w:pStyle w:val="Normal"/>
        <w:rPr>
          <w:rFonts w:ascii="Times New Roman" w:hAnsi="Times New Roman" w:cs="Times New Roman"/>
          <w:sz w:val="24"/>
        </w:rPr>
      </w:pPr>
      <w:r>
        <w:rPr>
          <w:rFonts w:cs="Times New Roman" w:ascii="Times New Roman" w:hAnsi="Times New Roman"/>
          <w:sz w:val="24"/>
        </w:rPr>
      </w:r>
    </w:p>
    <w:p>
      <w:pPr>
        <w:pStyle w:val="Normal"/>
        <w:rPr>
          <w:rFonts w:ascii="Times New Roman" w:hAnsi="Times New Roman" w:cs="Times New Roman"/>
          <w:sz w:val="24"/>
        </w:rPr>
      </w:pPr>
      <w:r>
        <w:rPr>
          <w:rFonts w:cs="Times New Roman" w:ascii="Times New Roman" w:hAnsi="Times New Roman"/>
          <w:sz w:val="24"/>
        </w:rPr>
        <w:t>For hard copies of this data request response, please contact Mark Parsons at (202) 585-6922.</w:t>
      </w:r>
    </w:p>
    <w:p>
      <w:pPr>
        <w:pStyle w:val="Normal"/>
        <w:rPr>
          <w:rFonts w:ascii="Times New Roman" w:hAnsi="Times New Roman" w:cs="Times New Roman"/>
          <w:sz w:val="24"/>
        </w:rPr>
      </w:pPr>
      <w:r>
        <w:rPr>
          <w:rFonts w:cs="Times New Roman" w:ascii="Times New Roman" w:hAnsi="Times New Roman"/>
          <w:sz w:val="24"/>
        </w:rPr>
        <w:t xml:space="preserve"> </w:t>
      </w:r>
    </w:p>
    <w:sectPr>
      <w:footerReference w:type="default" r:id="rId2"/>
      <w:footerReference w:type="first" r:id="rId3"/>
      <w:type w:val="nextPage"/>
      <w:pgSz w:w="12240" w:h="15840"/>
      <w:pgMar w:left="1440" w:right="1440" w:gutter="0" w:header="0" w:top="1440" w:footer="864"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Kuenst480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rPr/>
    </w:pPr>
    <w:r>
      <w:rPr>
        <w:sz w:val="16"/>
        <w:lang w:eastAsia="en-US"/>
      </w:rPr>
      <w:t>1722115</w:t>
    </w:r>
    <w:r>
      <w:rPr>
        <w:lang w:eastAsia="en-US"/>
      </w:rPr>
      <w:tab/>
      <w:t xml:space="preserve">- </w:t>
    </w:r>
    <w:r>
      <w:rPr>
        <w:lang w:eastAsia="en-US"/>
      </w:rPr>
      <w:fldChar w:fldCharType="begin"/>
    </w:r>
    <w:r>
      <w:rPr>
        <w:lang w:eastAsia="en-US"/>
      </w:rPr>
      <w:instrText xml:space="preserve"> PAGE </w:instrText>
    </w:r>
    <w:r>
      <w:rPr>
        <w:lang w:eastAsia="en-US"/>
      </w:rPr>
      <w:fldChar w:fldCharType="separate"/>
    </w:r>
    <w:r>
      <w:rPr>
        <w:lang w:eastAsia="en-US"/>
      </w:rPr>
      <w:t>4</w:t>
    </w:r>
    <w:r>
      <w:rPr>
        <w:lang w:eastAsia="en-US"/>
      </w:rPr>
      <w:fldChar w:fldCharType="end"/>
    </w:r>
    <w:r>
      <w:rPr>
        <w:lang w:eastAsia="en-US"/>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1722115</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Kuenst480 BT" w:hAnsi="Kuenst480 BT" w:eastAsia="Times New Roman" w:cs="Kuenst480 BT"/>
      <w:color w:val="auto"/>
      <w:sz w:val="22"/>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2">
    <w:name w:val="heading 2"/>
    <w:basedOn w:val="Normal"/>
    <w:next w:val="Normal"/>
    <w:qFormat/>
    <w:pPr>
      <w:keepNext w:val="true"/>
      <w:numPr>
        <w:ilvl w:val="1"/>
        <w:numId w:val="1"/>
      </w:numPr>
      <w:spacing w:before="240" w:after="60"/>
      <w:outlineLvl w:val="1"/>
    </w:pPr>
    <w:rPr>
      <w:b/>
      <w:i/>
      <w:sz w:val="24"/>
    </w:rPr>
  </w:style>
  <w:style w:type="paragraph" w:styleId="Heading3">
    <w:name w:val="heading 3"/>
    <w:basedOn w:val="Normal"/>
    <w:next w:val="Normal"/>
    <w:qFormat/>
    <w:pPr>
      <w:keepNext w:val="true"/>
      <w:numPr>
        <w:ilvl w:val="2"/>
        <w:numId w:val="1"/>
      </w:numPr>
      <w:spacing w:before="240" w:after="60"/>
      <w:outlineLvl w:val="2"/>
    </w:pPr>
    <w:rPr>
      <w:sz w:val="24"/>
    </w:rPr>
  </w:style>
  <w:style w:type="paragraph" w:styleId="Heading4">
    <w:name w:val="heading 4"/>
    <w:basedOn w:val="Normal"/>
    <w:next w:val="Normal"/>
    <w:qFormat/>
    <w:pPr>
      <w:keepNext w:val="true"/>
      <w:numPr>
        <w:ilvl w:val="3"/>
        <w:numId w:val="1"/>
      </w:numPr>
      <w:spacing w:before="240" w:after="60"/>
      <w:outlineLvl w:val="3"/>
    </w:pPr>
    <w:rPr>
      <w:b/>
      <w:sz w:val="24"/>
    </w:r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8080"/>
      <w:u w:val="none"/>
    </w:rPr>
  </w:style>
  <w:style w:type="character" w:styleId="FollowedHyperlink">
    <w:name w:val="FollowedHyperlink"/>
    <w:basedOn w:val="DefaultParagraphFont"/>
    <w:rPr>
      <w:color w:val="800080"/>
      <w:u w:val="none"/>
    </w:rPr>
  </w:style>
  <w:style w:type="character" w:styleId="PageNumber">
    <w:name w:val="page number"/>
    <w:basedOn w:val="DefaultParagraphFont"/>
    <w:rPr>
      <w:rFonts w:ascii="Kuenst480 BT" w:hAnsi="Kuenst480 BT" w:cs="Kuenst480 BT"/>
    </w:rPr>
  </w:style>
  <w:style w:type="character" w:styleId="FootnoteCharacters">
    <w:name w:val="Footnote Characters"/>
    <w:basedOn w:val="DefaultParagraphFont"/>
    <w:qFormat/>
    <w:rPr>
      <w:rFonts w:ascii="Kuenst480 BT" w:hAnsi="Kuenst480 BT" w:cs="Kuenst480 BT"/>
      <w:vertAlign w:val="superscript"/>
    </w:rPr>
  </w:style>
  <w:style w:type="character" w:styleId="LineNumber">
    <w:name w:val="line number"/>
    <w:basedOn w:val="DefaultParagraphFont"/>
    <w:rPr>
      <w:rFonts w:ascii="Kuenst480 BT" w:hAnsi="Kuenst480 BT" w:cs="Kuenst480 BT"/>
    </w:rPr>
  </w:style>
  <w:style w:type="character" w:styleId="EndnoteCharacters">
    <w:name w:val="Endnote Characters"/>
    <w:basedOn w:val="DefaultParagraphFont"/>
    <w:qFormat/>
    <w:rPr>
      <w:rFonts w:ascii="Kuenst480 BT" w:hAnsi="Kuenst480 BT" w:cs="Kuenst480 BT"/>
      <w:vertAlign w:val="superscript"/>
    </w:rPr>
  </w:style>
  <w:style w:type="paragraph" w:styleId="Heading">
    <w:name w:val="Heading"/>
    <w:basedOn w:val="Normal"/>
    <w:next w:val="BodyText"/>
    <w:qFormat/>
    <w:pPr>
      <w:spacing w:before="240" w:after="60"/>
      <w:jc w:val="center"/>
      <w:outlineLvl w:val="0"/>
    </w:pPr>
    <w:rPr>
      <w:b/>
      <w:kern w:val="2"/>
      <w:sz w:val="32"/>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4"/>
    </w:rPr>
  </w:style>
  <w:style w:type="paragraph" w:styleId="EnvelopeReturn">
    <w:name w:val="envelope return"/>
    <w:basedOn w:val="Normal"/>
    <w:pPr/>
    <w:rPr>
      <w:sz w:val="20"/>
    </w:rPr>
  </w:style>
  <w:style w:type="paragraph" w:styleId="1E4">
    <w:name w:val="(1) E4"/>
    <w:basedOn w:val="Normal"/>
    <w:qFormat/>
    <w:pPr>
      <w:tabs>
        <w:tab w:val="clear" w:pos="720"/>
        <w:tab w:val="left" w:pos="1440" w:leader="none"/>
      </w:tabs>
      <w:spacing w:lineRule="auto" w:line="420" w:before="0" w:after="120"/>
      <w:ind w:firstLine="720" w:start="1440" w:end="0"/>
      <w:jc w:val="both"/>
    </w:pPr>
    <w:rPr>
      <w:spacing w:val="-3"/>
    </w:rPr>
  </w:style>
  <w:style w:type="paragraph" w:styleId="aE3">
    <w:name w:val="(a) E3"/>
    <w:basedOn w:val="Normal"/>
    <w:qFormat/>
    <w:pPr>
      <w:tabs>
        <w:tab w:val="clear" w:pos="720"/>
        <w:tab w:val="left" w:pos="1440" w:leader="none"/>
        <w:tab w:val="left" w:pos="2160" w:leader="none"/>
        <w:tab w:val="left" w:pos="2880" w:leader="none"/>
        <w:tab w:val="left" w:pos="3600" w:leader="none"/>
      </w:tabs>
      <w:spacing w:lineRule="auto" w:line="420" w:before="120" w:after="120"/>
      <w:ind w:firstLine="720" w:start="720" w:end="0"/>
      <w:jc w:val="both"/>
    </w:pPr>
    <w:rPr>
      <w:spacing w:val="-3"/>
    </w:rPr>
  </w:style>
  <w:style w:type="paragraph" w:styleId="AE5">
    <w:name w:val="(A) E5"/>
    <w:basedOn w:val="Normal"/>
    <w:qFormat/>
    <w:pPr>
      <w:tabs>
        <w:tab w:val="clear" w:pos="720"/>
        <w:tab w:val="left" w:pos="1440" w:leader="none"/>
      </w:tabs>
      <w:spacing w:lineRule="auto" w:line="420" w:before="0" w:after="120"/>
      <w:ind w:firstLine="720" w:start="2160" w:end="0"/>
      <w:jc w:val="both"/>
    </w:pPr>
    <w:rPr>
      <w:spacing w:val="-3"/>
    </w:rPr>
  </w:style>
  <w:style w:type="paragraph" w:styleId="ARTICLEE1">
    <w:name w:val="ARTICLE E1"/>
    <w:basedOn w:val="Normal"/>
    <w:next w:val="Normal"/>
    <w:qFormat/>
    <w:pPr>
      <w:keepNext w:val="true"/>
      <w:keepLines/>
      <w:tabs>
        <w:tab w:val="left" w:pos="720" w:leader="none"/>
        <w:tab w:val="left" w:pos="1440" w:leader="none"/>
      </w:tabs>
      <w:spacing w:lineRule="auto" w:line="420" w:before="120" w:after="0"/>
      <w:jc w:val="center"/>
    </w:pPr>
    <w:rPr>
      <w:b/>
      <w:smallCaps/>
      <w:kern w:val="2"/>
      <w:sz w:val="28"/>
    </w:rPr>
  </w:style>
  <w:style w:type="paragraph" w:styleId="SECTIONE2">
    <w:name w:val="SECTION E2"/>
    <w:basedOn w:val="Normal"/>
    <w:next w:val="Normal"/>
    <w:qFormat/>
    <w:pPr>
      <w:keepNext w:val="true"/>
      <w:keepLines/>
      <w:tabs>
        <w:tab w:val="clear" w:pos="720"/>
        <w:tab w:val="left" w:pos="1800" w:leader="none"/>
        <w:tab w:val="left" w:pos="2880" w:leader="none"/>
        <w:tab w:val="left" w:pos="3600" w:leader="none"/>
      </w:tabs>
      <w:spacing w:lineRule="auto" w:line="420" w:before="120" w:after="120"/>
      <w:jc w:val="both"/>
    </w:pPr>
    <w:rPr>
      <w:b/>
      <w:smallCaps/>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FootnoteText">
    <w:name w:val="footnote text"/>
    <w:basedOn w:val="Normal"/>
    <w:pPr>
      <w:spacing w:before="0" w:after="260"/>
    </w:pPr>
    <w:rPr>
      <w:sz w:val="20"/>
    </w:rPr>
  </w:style>
  <w:style w:type="paragraph" w:styleId="Header">
    <w:name w:val="header"/>
    <w:basedOn w:val="Normal"/>
    <w:pPr>
      <w:tabs>
        <w:tab w:val="clear" w:pos="720"/>
        <w:tab w:val="center" w:pos="4680" w:leader="none"/>
        <w:tab w:val="right" w:pos="9360" w:leader="none"/>
      </w:tabs>
    </w:pPr>
    <w:rPr/>
  </w:style>
  <w:style w:type="paragraph" w:styleId="TOC3">
    <w:name w:val="toc 3"/>
    <w:basedOn w:val="Normal"/>
    <w:next w:val="Normal"/>
    <w:pPr>
      <w:ind w:hanging="0" w:start="440" w:end="0"/>
    </w:pPr>
    <w:rPr/>
  </w:style>
  <w:style w:type="paragraph" w:styleId="ListNumber">
    <w:name w:val="List Number"/>
    <w:basedOn w:val="Normal"/>
    <w:qFormat/>
    <w:pPr>
      <w:numPr>
        <w:ilvl w:val="0"/>
        <w:numId w:val="2"/>
      </w:numPr>
      <w:tabs>
        <w:tab w:val="clear" w:pos="720"/>
        <w:tab w:val="left" w:pos="648" w:leader="none"/>
      </w:tabs>
      <w:jc w:val="both"/>
    </w:pPr>
    <w:rPr>
      <w:rFonts w:ascii="Times New Roman" w:hAnsi="Times New Roman" w:cs="Times New Roman"/>
      <w:sz w:val="24"/>
    </w:rPr>
  </w:style>
  <w:style w:type="paragraph" w:styleId="Index1">
    <w:name w:val="index 1"/>
    <w:basedOn w:val="Normal"/>
    <w:next w:val="Normal"/>
    <w:pPr>
      <w:ind w:hanging="220" w:start="220" w:end="0"/>
    </w:pPr>
    <w:rPr/>
  </w:style>
  <w:style w:type="paragraph" w:styleId="IndexHeading">
    <w:name w:val="index heading"/>
    <w:basedOn w:val="Normal"/>
    <w:next w:val="Index1"/>
    <w:pPr/>
    <w:rPr>
      <w:b/>
    </w:rPr>
  </w:style>
  <w:style w:type="paragraph" w:styleId="PlainText">
    <w:name w:val="Plain Text"/>
    <w:basedOn w:val="Normal"/>
    <w:qFormat/>
    <w:pPr/>
    <w:rPr>
      <w:sz w:val="20"/>
    </w:rPr>
  </w:style>
  <w:style w:type="paragraph" w:styleId="Subtitle">
    <w:name w:val="Subtitle"/>
    <w:basedOn w:val="Normal"/>
    <w:next w:val="BodyText"/>
    <w:qFormat/>
    <w:pPr>
      <w:spacing w:before="0" w:after="60"/>
      <w:jc w:val="center"/>
      <w:outlineLvl w:val="1"/>
    </w:pPr>
    <w:rPr>
      <w:sz w:val="24"/>
    </w:rPr>
  </w:style>
  <w:style w:type="paragraph" w:styleId="TOAHeading">
    <w:name w:val="TOA Heading"/>
    <w:basedOn w:val="Normal"/>
    <w:next w:val="Normal"/>
    <w:qFormat/>
    <w:pPr>
      <w:spacing w:before="120" w:after="0"/>
    </w:pPr>
    <w:rPr>
      <w:b/>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2001-11-27T18:58:00Z</dcterms:created>
  <dc:creator>Thompson Coburn</dc:creator>
  <dc:description/>
  <dc:language>en-CA</dc:language>
  <cp:lastModifiedBy>Mark Parsons</cp:lastModifiedBy>
  <cp:lastPrinted>2001-11-27T14:49:00Z</cp:lastPrinted>
  <dcterms:modified xsi:type="dcterms:W3CDTF">2001-11-27T18:58:00Z</dcterms:modified>
  <cp:revision>2</cp:revision>
  <dc:subject/>
  <dc:title>UNITED STATES OF AMERICA</dc:title>
</cp:coreProperties>
</file>