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sz w:val="32"/>
        </w:rPr>
      </w:pPr>
      <w:r>
        <w:rPr>
          <w:b/>
          <w:sz w:val="32"/>
        </w:rPr>
        <w:t>Riverside IV</w:t>
      </w:r>
    </w:p>
    <w:p>
      <w:pPr>
        <w:pStyle w:val="Heading"/>
        <w:rPr>
          <w:sz w:val="28"/>
        </w:rPr>
      </w:pPr>
      <w:r>
        <w:rPr>
          <w:sz w:val="28"/>
        </w:rPr>
        <w:t>September 1998</w:t>
      </w:r>
    </w:p>
    <w:p>
      <w:pPr>
        <w:pStyle w:val="Normal"/>
        <w:rPr>
          <w:rFonts w:ascii="Tahoma" w:hAnsi="Tahoma" w:cs="Tahoma"/>
          <w:sz w:val="28"/>
          <w:lang w:val="en-CA"/>
        </w:rPr>
      </w:pPr>
      <w:r>
        <w:rPr>
          <w:rFonts w:cs="Tahoma" w:ascii="Tahoma" w:hAnsi="Tahoma"/>
          <w:sz w:val="2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-351790</wp:posOffset>
                </wp:positionH>
                <wp:positionV relativeFrom="paragraph">
                  <wp:posOffset>100330</wp:posOffset>
                </wp:positionV>
                <wp:extent cx="3108960" cy="228600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0" cy="22860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360">
                          <a:solidFill>
                            <a:srgbClr val="333333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dddddd" stroked="t" o:allowincell="f" style="position:absolute;margin-left:-27.7pt;margin-top:7.9pt;width:244.75pt;height:179.95pt;mso-wrap-style:none;v-text-anchor:middle">
                <v:fill o:detectmouseclick="t" type="solid" color2="#222222"/>
                <v:stroke color="#333333" weight="9360" dashstyle="dash" joinstyle="miter" endcap="flat"/>
                <w10:wrap type="none"/>
              </v:rect>
            </w:pict>
          </mc:Fallback>
        </mc:AlternateContent>
        <w:drawing>
          <wp:anchor behindDoc="0" distT="0" distB="0" distL="114935" distR="114935" simplePos="0" locked="0" layoutInCell="1" allowOverlap="1" relativeHeight="5">
            <wp:simplePos x="0" y="0"/>
            <wp:positionH relativeFrom="column">
              <wp:posOffset>-443230</wp:posOffset>
            </wp:positionH>
            <wp:positionV relativeFrom="paragraph">
              <wp:posOffset>69850</wp:posOffset>
            </wp:positionV>
            <wp:extent cx="6492240" cy="5511800"/>
            <wp:effectExtent l="0" t="0" r="0" b="0"/>
            <wp:wrapNone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551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0"/>
        <w:rPr/>
      </w:pPr>
      <w:r>
        <w:rPr/>
        <w:t>Description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Enron is selling all of TPL’s post contractual cashflows (2008-2012), including value of the site =&gt; thus having no further economic investment in the group.  The pre-tax gain was £16m.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0"/>
        <w:rPr/>
      </w:pPr>
      <w:r>
        <w:rPr/>
        <w:t>Rationale</w:t>
      </w:r>
    </w:p>
    <w:p>
      <w:pPr>
        <w:pStyle w:val="Normal"/>
        <w:numPr>
          <w:ilvl w:val="0"/>
          <w:numId w:val="6"/>
        </w:numPr>
        <w:rPr>
          <w:rFonts w:ascii="Tahoma" w:hAnsi="Tahoma" w:cs="Tahoma"/>
        </w:rPr>
      </w:pPr>
      <w:r>
        <w:rPr>
          <w:rFonts w:cs="Tahoma" w:ascii="Tahoma" w:hAnsi="Tahoma"/>
        </w:rPr>
        <w:t>Recognise gain from sale through creation of EEP3 and EEP4 as QSPEs.</w:t>
      </w:r>
    </w:p>
    <w:p>
      <w:pPr>
        <w:pStyle w:val="Normal"/>
        <w:numPr>
          <w:ilvl w:val="0"/>
          <w:numId w:val="6"/>
        </w:numPr>
        <w:rPr>
          <w:rFonts w:ascii="Tahoma" w:hAnsi="Tahoma" w:cs="Tahoma"/>
        </w:rPr>
      </w:pPr>
      <w:r>
        <w:rPr>
          <w:rFonts w:cs="Tahoma" w:ascii="Tahoma" w:hAnsi="Tahoma"/>
        </w:rPr>
        <w:t>Retain strategic control</w:t>
      </w:r>
    </w:p>
    <w:p>
      <w:pPr>
        <w:pStyle w:val="Normal"/>
        <w:numPr>
          <w:ilvl w:val="0"/>
          <w:numId w:val="6"/>
        </w:numPr>
        <w:rPr>
          <w:rFonts w:ascii="Tahoma" w:hAnsi="Tahoma" w:cs="Tahoma"/>
        </w:rPr>
      </w:pPr>
      <w:r>
        <w:rPr>
          <w:rFonts w:cs="Tahoma" w:ascii="Tahoma" w:hAnsi="Tahoma"/>
        </w:rPr>
        <w:t>Create most effective US &amp; UK tax treatment</w:t>
      </w:r>
    </w:p>
    <w:p>
      <w:pPr>
        <w:pStyle w:val="Footer"/>
        <w:tabs>
          <w:tab w:val="clear" w:pos="4153"/>
          <w:tab w:val="clear" w:pos="8306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0"/>
        <w:rPr>
          <w:u w:val="single"/>
        </w:rPr>
      </w:pPr>
      <w:r>
        <w:rPr/>
        <w:t>Transaction Mechanics</w:t>
      </w:r>
    </w:p>
    <w:p>
      <w:pPr>
        <w:pStyle w:val="Heading2"/>
        <w:ind w:hanging="0" w:start="0"/>
        <w:rPr/>
      </w:pPr>
      <w:r>
        <w:rPr/>
        <w:t>Initial Subscription on September 17, 1998</w:t>
      </w:r>
    </w:p>
    <w:p>
      <w:pPr>
        <w:pStyle w:val="Normal"/>
        <w:numPr>
          <w:ilvl w:val="0"/>
          <w:numId w:val="4"/>
        </w:numPr>
        <w:rPr>
          <w:rFonts w:ascii="Tahoma" w:hAnsi="Tahoma" w:cs="Tahoma"/>
          <w:i/>
          <w:i/>
          <w:color w:val="FF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 xml:space="preserve">EEL subscribes for £1 ord share in EEP3 </w:t>
      </w:r>
      <w:r>
        <w:rPr>
          <w:rFonts w:cs="Tahoma" w:ascii="Tahoma" w:hAnsi="Tahoma"/>
          <w:i/>
          <w:color w:val="FF0000"/>
          <w:lang w:val="en-AU" w:eastAsia="en-US"/>
        </w:rPr>
        <w:t>(why didn’t this happen together with the additional subscription?)</w:t>
      </w:r>
    </w:p>
    <w:p>
      <w:pPr>
        <w:pStyle w:val="Normal"/>
        <w:numPr>
          <w:ilvl w:val="0"/>
          <w:numId w:val="3"/>
        </w:numPr>
        <w:rPr>
          <w:rFonts w:ascii="Tahoma" w:hAnsi="Tahoma" w:cs="Tahoma"/>
        </w:rPr>
      </w:pPr>
      <w:r>
        <w:rPr>
          <w:rFonts w:cs="Tahoma" w:ascii="Tahoma" w:hAnsi="Tahoma"/>
          <w:color w:val="000000"/>
          <w:lang w:val="en-AU" w:eastAsia="en-US"/>
        </w:rPr>
        <w:t>EEL subscribes for £1 ord share in EEP4.</w:t>
      </w:r>
    </w:p>
    <w:p>
      <w:pPr>
        <w:pStyle w:val="Normal"/>
        <w:rPr>
          <w:rFonts w:ascii="Tahoma" w:hAnsi="Tahoma" w:cs="Tahoma"/>
          <w:u w:val="single"/>
        </w:rPr>
      </w:pPr>
      <w:r>
        <w:rPr>
          <w:rFonts w:cs="Tahoma" w:ascii="Tahoma" w:hAnsi="Tahoma"/>
          <w:u w:val="single"/>
        </w:rPr>
        <w:t>Additional subscription &amp; purchase of gilts on September 30, 1998.</w:t>
      </w:r>
    </w:p>
    <w:p>
      <w:pPr>
        <w:pStyle w:val="Normal"/>
        <w:numPr>
          <w:ilvl w:val="0"/>
          <w:numId w:val="5"/>
        </w:numPr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 xml:space="preserve">EEL subscribes for additional 500,000 ords in EEP4 </w:t>
      </w:r>
    </w:p>
    <w:p>
      <w:pPr>
        <w:pStyle w:val="Normal"/>
        <w:numPr>
          <w:ilvl w:val="0"/>
          <w:numId w:val="5"/>
        </w:numPr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 xml:space="preserve">EEL subscribes for additional 15,000 ords in EEP4 </w:t>
      </w:r>
    </w:p>
    <w:p>
      <w:pPr>
        <w:pStyle w:val="Normal"/>
        <w:numPr>
          <w:ilvl w:val="0"/>
          <w:numId w:val="5"/>
        </w:numPr>
        <w:rPr>
          <w:rFonts w:ascii="Tahoma" w:hAnsi="Tahoma" w:cs="Tahoma"/>
          <w:i/>
          <w:i/>
          <w:color w:val="FF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 xml:space="preserve">EEP3 purchases government gilts 15,000 </w:t>
      </w:r>
      <w:r>
        <w:rPr>
          <w:rFonts w:cs="Tahoma" w:ascii="Tahoma" w:hAnsi="Tahoma"/>
          <w:i/>
          <w:color w:val="FF0000"/>
          <w:lang w:val="en-AU" w:eastAsia="en-US"/>
        </w:rPr>
        <w:t>(what for?)</w:t>
      </w:r>
    </w:p>
    <w:p>
      <w:pPr>
        <w:pStyle w:val="Normal"/>
        <w:numPr>
          <w:ilvl w:val="0"/>
          <w:numId w:val="5"/>
        </w:numPr>
        <w:rPr>
          <w:rFonts w:ascii="Tahoma" w:hAnsi="Tahoma" w:cs="Tahoma"/>
          <w:u w:val="single"/>
        </w:rPr>
      </w:pPr>
      <w:r>
        <w:rPr>
          <w:rFonts w:cs="Tahoma" w:ascii="Tahoma" w:hAnsi="Tahoma"/>
          <w:color w:val="000000"/>
          <w:lang w:val="en-AU" w:eastAsia="en-US"/>
        </w:rPr>
        <w:t xml:space="preserve">EEP4 purchases government gilts 15,000 </w:t>
      </w:r>
    </w:p>
    <w:p>
      <w:pPr>
        <w:pStyle w:val="Normal"/>
        <w:rPr>
          <w:rFonts w:ascii="Tahoma" w:hAnsi="Tahoma" w:cs="Tahoma"/>
          <w:u w:val="single"/>
        </w:rPr>
      </w:pPr>
      <w:r>
        <w:rPr>
          <w:rFonts w:cs="Tahoma" w:ascii="Tahoma" w:hAnsi="Tahoma"/>
          <w:u w:val="single"/>
        </w:rPr>
        <w:t>Initial Funding of EEP3/EEP4 (September 30, 1998)</w:t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 xml:space="preserve">EEP4’s sole purpose for existence is to borrow £60m under term facility agreement. </w:t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EEP4 subscribes for preference shares in EEP3 for £60m</w:t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EEP4 pays bank and legal fees to CIBC (£0.36m)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u w:val="single"/>
        </w:rPr>
      </w:pPr>
      <w:r>
        <w:rPr>
          <w:rFonts w:cs="Tahoma" w:ascii="Tahoma" w:hAnsi="Tahoma"/>
          <w:u w:val="single"/>
        </w:rPr>
        <w:t>Sale of EEL's investment in EEP1 to EEP3 (30-Sep-98)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EEP3 purchases EEP1 ord shares from EEL for £60m (51 ords)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0"/>
        <w:rPr/>
      </w:pPr>
      <w:r>
        <w:rPr/>
        <w:t>Gain Recognition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$/£ FX Rate= 1.722</w:t>
      </w:r>
    </w:p>
    <w:tbl>
      <w:tblPr>
        <w:tblW w:w="889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29"/>
        <w:gridCol w:w="2268"/>
      </w:tblGrid>
      <w:tr>
        <w:trPr/>
        <w:tc>
          <w:tcPr>
            <w:tcW w:w="6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EEL’s proceeds from sale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£60.0m</w:t>
            </w:r>
          </w:p>
        </w:tc>
      </w:tr>
      <w:tr>
        <w:trPr/>
        <w:tc>
          <w:tcPr>
            <w:tcW w:w="66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EEL’s net investment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£18.4m</w:t>
            </w:r>
          </w:p>
        </w:tc>
      </w:tr>
      <w:tr>
        <w:trPr/>
        <w:tc>
          <w:tcPr>
            <w:tcW w:w="6629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Less: Cost of investment in EEPHL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-£51.8m</w:t>
            </w:r>
          </w:p>
        </w:tc>
      </w:tr>
      <w:tr>
        <w:trPr/>
        <w:tc>
          <w:tcPr>
            <w:tcW w:w="66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er"/>
              <w:tabs>
                <w:tab w:val="clear" w:pos="4153"/>
                <w:tab w:val="clear" w:pos="8306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Gross gain on sale</w:t>
            </w:r>
          </w:p>
        </w:tc>
        <w:tc>
          <w:tcPr>
            <w:tcW w:w="22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£26.6m</w:t>
            </w:r>
          </w:p>
        </w:tc>
      </w:tr>
      <w:tr>
        <w:trPr/>
        <w:tc>
          <w:tcPr>
            <w:tcW w:w="66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Less: Legal Costs/Guarantees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-£1.3m</w:t>
            </w:r>
          </w:p>
        </w:tc>
      </w:tr>
      <w:tr>
        <w:trPr/>
        <w:tc>
          <w:tcPr>
            <w:tcW w:w="6629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Less: Phantom Stock re TPL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-£9.4m</w:t>
            </w:r>
          </w:p>
        </w:tc>
      </w:tr>
      <w:tr>
        <w:trPr/>
        <w:tc>
          <w:tcPr>
            <w:tcW w:w="66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Net gain before tax</w:t>
            </w:r>
          </w:p>
        </w:tc>
        <w:tc>
          <w:tcPr>
            <w:tcW w:w="22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£15.9m</w:t>
            </w:r>
          </w:p>
        </w:tc>
      </w:tr>
      <w:tr>
        <w:trPr/>
        <w:tc>
          <w:tcPr>
            <w:tcW w:w="6629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Less: Tax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-£5.6m</w:t>
            </w:r>
          </w:p>
        </w:tc>
      </w:tr>
      <w:tr>
        <w:trPr/>
        <w:tc>
          <w:tcPr>
            <w:tcW w:w="66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Post tax gain</w:t>
            </w:r>
          </w:p>
        </w:tc>
        <w:tc>
          <w:tcPr>
            <w:tcW w:w="22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£10.3m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type w:val="nextPage"/>
      <w:pgSz w:w="11906" w:h="16838"/>
      <w:pgMar w:left="1418" w:right="1418" w:gutter="0" w:header="0" w:top="1134" w:footer="72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48.4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ahoma" w:hAnsi="Tahoma" w:cs="Tahoma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Tahoma" w:hAnsi="Tahoma" w:cs="Tahoma"/>
      <w:color w:val="000000"/>
      <w:u w:val="single"/>
      <w:lang w:val="en-AU"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ahoma" w:hAnsi="Tahoma" w:cs="Tahoma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ahoma" w:hAnsi="Tahoma" w:cs="Tahoma"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2000-02-22T10:21:00Z</dcterms:created>
  <dc:creator>ZStrmeno</dc:creator>
  <dc:description/>
  <dc:language>en-CA</dc:language>
  <cp:lastModifiedBy>ZStrmeno</cp:lastModifiedBy>
  <cp:lastPrinted>2000-02-29T16:02:00Z</cp:lastPrinted>
  <dcterms:modified xsi:type="dcterms:W3CDTF">2000-03-01T23:05:00Z</dcterms:modified>
  <cp:revision>10</cp:revision>
  <dc:subject/>
  <dc:title>Riverside IV</dc:title>
</cp:coreProperties>
</file>