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32"/>
        </w:rPr>
      </w:pPr>
      <w:r>
        <w:rPr>
          <w:sz w:val="32"/>
        </w:rPr>
        <w:t>Riverside III</w:t>
      </w:r>
    </w:p>
    <w:p>
      <w:pPr>
        <w:pStyle w:val="Heading"/>
        <w:rPr>
          <w:b w:val="false"/>
          <w:sz w:val="32"/>
        </w:rPr>
      </w:pPr>
      <w:r>
        <w:rPr>
          <w:b w:val="false"/>
          <w:sz w:val="32"/>
        </w:rPr>
        <w:t>June 30, 1998</w:t>
      </w:r>
    </w:p>
    <w:p>
      <w:pPr>
        <w:pStyle w:val="Normal"/>
        <w:rPr>
          <w:rFonts w:ascii="Tahoma" w:hAnsi="Tahoma" w:cs="Tahoma"/>
          <w:b/>
          <w:sz w:val="32"/>
          <w:lang w:val="en-CA"/>
        </w:rPr>
      </w:pPr>
      <w:r>
        <w:rPr>
          <w:rFonts w:cs="Tahoma" w:ascii="Tahoma" w:hAnsi="Tahoma"/>
          <w:b/>
          <w:sz w:val="32"/>
          <w:lang w:val="en-CA"/>
        </w:rPr>
        <w:drawing>
          <wp:anchor behindDoc="0" distT="0" distB="0" distL="114935" distR="114935" simplePos="0" locked="0" layoutInCell="1" allowOverlap="1" relativeHeight="5">
            <wp:simplePos x="0" y="0"/>
            <wp:positionH relativeFrom="column">
              <wp:posOffset>-370840</wp:posOffset>
            </wp:positionH>
            <wp:positionV relativeFrom="paragraph">
              <wp:posOffset>124460</wp:posOffset>
            </wp:positionV>
            <wp:extent cx="6309360" cy="380238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4" t="-6" r="-4" b="-6"/>
                    <a:stretch>
                      <a:fillRect/>
                    </a:stretch>
                  </pic:blipFill>
                  <pic:spPr bwMode="auto">
                    <a:xfrm>
                      <a:off x="0" y="0"/>
                      <a:ext cx="6309360" cy="3802380"/>
                    </a:xfrm>
                    <a:prstGeom prst="rect">
                      <a:avLst/>
                    </a:prstGeom>
                    <a:noFill/>
                  </pic:spPr>
                </pic:pic>
              </a:graphicData>
            </a:graphic>
          </wp:anchor>
        </w:drawing>
      </w:r>
    </w:p>
    <w:p>
      <w:pPr>
        <w:pStyle w:val="Normal"/>
        <w:rPr>
          <w:rFonts w:ascii="Tahoma" w:hAnsi="Tahoma" w:cs="Tahoma"/>
          <w:b/>
        </w:rPr>
      </w:pPr>
      <w:r>
        <w:rPr>
          <w:rFonts w:cs="Tahoma" w:ascii="Tahoma" w:hAnsi="Tahoma"/>
          <w:b/>
        </w:rPr>
      </w:r>
    </w:p>
    <w:p>
      <w:pPr>
        <w:pStyle w:val="Normal"/>
        <w:rPr>
          <w:rFonts w:ascii="Tahoma" w:hAnsi="Tahoma" w:cs="Tahoma"/>
          <w:b/>
        </w:rPr>
      </w:pPr>
      <w:r>
        <w:rPr>
          <w:rFonts w:cs="Tahoma" w:ascii="Tahoma" w:hAnsi="Tahoma"/>
          <w:b/>
        </w:rPr>
      </w:r>
    </w:p>
    <w:p>
      <w:pPr>
        <w:pStyle w:val="Normal"/>
        <w:rPr>
          <w:rFonts w:ascii="Tahoma" w:hAnsi="Tahoma" w:cs="Tahoma"/>
          <w:b/>
        </w:rPr>
      </w:pPr>
      <w:r>
        <w:rPr>
          <w:rFonts w:cs="Tahoma" w:ascii="Tahoma" w:hAnsi="Tahoma"/>
          <w:b/>
        </w:rPr>
      </w:r>
    </w:p>
    <w:p>
      <w:pPr>
        <w:pStyle w:val="Normal"/>
        <w:rPr>
          <w:rFonts w:ascii="Tahoma" w:hAnsi="Tahoma" w:cs="Tahoma"/>
          <w:b/>
        </w:rPr>
      </w:pPr>
      <w:r>
        <w:rPr>
          <w:rFonts w:cs="Tahoma" w:ascii="Tahoma" w:hAnsi="Tahoma"/>
          <w:b/>
        </w:rPr>
      </w:r>
    </w:p>
    <w:p>
      <w:pPr>
        <w:pStyle w:val="Normal"/>
        <w:rPr>
          <w:rFonts w:ascii="Tahoma" w:hAnsi="Tahoma" w:cs="Tahoma"/>
          <w:b/>
        </w:rPr>
      </w:pPr>
      <w:r>
        <w:rPr>
          <w:rFonts w:cs="Tahoma" w:ascii="Tahoma" w:hAnsi="Tahoma"/>
          <w:b/>
        </w:rPr>
      </w:r>
    </w:p>
    <w:p>
      <w:pPr>
        <w:pStyle w:val="Normal"/>
        <w:rPr>
          <w:rFonts w:ascii="Tahoma" w:hAnsi="Tahoma" w:cs="Tahoma"/>
          <w:b/>
        </w:rPr>
      </w:pPr>
      <w:r>
        <w:rPr>
          <w:rFonts w:cs="Tahoma" w:ascii="Tahoma" w:hAnsi="Tahoma"/>
          <w:b/>
        </w:rPr>
      </w:r>
    </w:p>
    <w:p>
      <w:pPr>
        <w:pStyle w:val="Normal"/>
        <w:rPr>
          <w:rFonts w:ascii="Tahoma" w:hAnsi="Tahoma" w:cs="Tahoma"/>
          <w:b/>
        </w:rPr>
      </w:pPr>
      <w:r>
        <w:rPr>
          <w:rFonts w:cs="Tahoma" w:ascii="Tahoma" w:hAnsi="Tahoma"/>
          <w:b/>
        </w:rPr>
      </w:r>
    </w:p>
    <w:p>
      <w:pPr>
        <w:pStyle w:val="Normal"/>
        <w:rPr>
          <w:rFonts w:ascii="Tahoma" w:hAnsi="Tahoma" w:cs="Tahoma"/>
          <w:b/>
        </w:rPr>
      </w:pPr>
      <w:r>
        <w:rPr>
          <w:rFonts w:cs="Tahoma" w:ascii="Tahoma" w:hAnsi="Tahoma"/>
          <w:b/>
        </w:rPr>
      </w:r>
    </w:p>
    <w:p>
      <w:pPr>
        <w:pStyle w:val="Normal"/>
        <w:rPr>
          <w:rFonts w:ascii="Tahoma" w:hAnsi="Tahoma" w:cs="Tahoma"/>
          <w:b/>
        </w:rPr>
      </w:pPr>
      <w:r>
        <w:rPr>
          <w:rFonts w:cs="Tahoma" w:ascii="Tahoma" w:hAnsi="Tahoma"/>
          <w:b/>
        </w:rPr>
      </w:r>
    </w:p>
    <w:p>
      <w:pPr>
        <w:pStyle w:val="Normal"/>
        <w:rPr>
          <w:rFonts w:ascii="Tahoma" w:hAnsi="Tahoma" w:cs="Tahoma"/>
          <w:b/>
        </w:rPr>
      </w:pPr>
      <w:r>
        <w:rPr>
          <w:rFonts w:cs="Tahoma" w:ascii="Tahoma" w:hAnsi="Tahoma"/>
          <w:b/>
        </w:rPr>
      </w:r>
    </w:p>
    <w:p>
      <w:pPr>
        <w:pStyle w:val="Normal"/>
        <w:rPr>
          <w:rFonts w:ascii="Tahoma" w:hAnsi="Tahoma" w:cs="Tahoma"/>
          <w:b/>
        </w:rPr>
      </w:pPr>
      <w:r>
        <w:rPr>
          <w:rFonts w:cs="Tahoma" w:ascii="Tahoma" w:hAnsi="Tahoma"/>
          <w:b/>
        </w:rPr>
      </w:r>
    </w:p>
    <w:p>
      <w:pPr>
        <w:pStyle w:val="Normal"/>
        <w:rPr>
          <w:rFonts w:ascii="Tahoma" w:hAnsi="Tahoma" w:cs="Tahoma"/>
          <w:b/>
        </w:rPr>
      </w:pPr>
      <w:r>
        <w:rPr>
          <w:rFonts w:cs="Tahoma" w:ascii="Tahoma" w:hAnsi="Tahoma"/>
          <w:b/>
        </w:rPr>
      </w:r>
    </w:p>
    <w:p>
      <w:pPr>
        <w:pStyle w:val="Normal"/>
        <w:rPr>
          <w:rFonts w:ascii="Tahoma" w:hAnsi="Tahoma" w:cs="Tahoma"/>
          <w:b/>
        </w:rPr>
      </w:pPr>
      <w:r>
        <w:rPr>
          <w:rFonts w:cs="Tahoma" w:ascii="Tahoma" w:hAnsi="Tahoma"/>
          <w:b/>
        </w:rPr>
      </w:r>
    </w:p>
    <w:p>
      <w:pPr>
        <w:pStyle w:val="Normal"/>
        <w:rPr>
          <w:rFonts w:ascii="Tahoma" w:hAnsi="Tahoma" w:cs="Tahoma"/>
          <w:b/>
        </w:rPr>
      </w:pPr>
      <w:r>
        <w:rPr>
          <w:rFonts w:cs="Tahoma" w:ascii="Tahoma" w:hAnsi="Tahoma"/>
          <w:b/>
        </w:rPr>
      </w:r>
    </w:p>
    <w:p>
      <w:pPr>
        <w:pStyle w:val="Normal"/>
        <w:rPr>
          <w:rFonts w:ascii="Tahoma" w:hAnsi="Tahoma" w:cs="Tahoma"/>
          <w:b/>
        </w:rPr>
      </w:pPr>
      <w:r>
        <w:rPr>
          <w:rFonts w:cs="Tahoma" w:ascii="Tahoma" w:hAnsi="Tahoma"/>
          <w:b/>
        </w:rPr>
      </w:r>
    </w:p>
    <w:p>
      <w:pPr>
        <w:pStyle w:val="Normal"/>
        <w:rPr>
          <w:rFonts w:ascii="Tahoma" w:hAnsi="Tahoma" w:cs="Tahoma"/>
          <w:b/>
        </w:rPr>
      </w:pPr>
      <w:r>
        <w:rPr>
          <w:rFonts w:cs="Tahoma" w:ascii="Tahoma" w:hAnsi="Tahoma"/>
          <w:b/>
        </w:rPr>
      </w:r>
    </w:p>
    <w:p>
      <w:pPr>
        <w:pStyle w:val="Normal"/>
        <w:rPr>
          <w:rFonts w:ascii="Tahoma" w:hAnsi="Tahoma" w:cs="Tahoma"/>
          <w:b/>
        </w:rPr>
      </w:pPr>
      <w:r>
        <w:rPr>
          <w:rFonts w:cs="Tahoma" w:ascii="Tahoma" w:hAnsi="Tahoma"/>
          <w:b/>
        </w:rPr>
      </w:r>
    </w:p>
    <w:p>
      <w:pPr>
        <w:pStyle w:val="Normal"/>
        <w:rPr>
          <w:rFonts w:ascii="Tahoma" w:hAnsi="Tahoma" w:cs="Tahoma"/>
          <w:b/>
        </w:rPr>
      </w:pPr>
      <w:r>
        <w:rPr>
          <w:rFonts w:cs="Tahoma" w:ascii="Tahoma" w:hAnsi="Tahoma"/>
          <w:b/>
        </w:rPr>
      </w:r>
    </w:p>
    <w:p>
      <w:pPr>
        <w:pStyle w:val="Normal"/>
        <w:rPr>
          <w:rFonts w:ascii="Tahoma" w:hAnsi="Tahoma" w:cs="Tahoma"/>
          <w:b/>
        </w:rPr>
      </w:pPr>
      <w:r>
        <w:rPr>
          <w:rFonts w:cs="Tahoma" w:ascii="Tahoma" w:hAnsi="Tahoma"/>
          <w:b/>
        </w:rPr>
      </w:r>
    </w:p>
    <w:p>
      <w:pPr>
        <w:pStyle w:val="Normal"/>
        <w:rPr>
          <w:rFonts w:ascii="Tahoma" w:hAnsi="Tahoma" w:cs="Tahoma"/>
          <w:b/>
        </w:rPr>
      </w:pPr>
      <w:r>
        <w:rPr>
          <w:rFonts w:cs="Tahoma" w:ascii="Tahoma" w:hAnsi="Tahoma"/>
          <w:b/>
        </w:rPr>
      </w:r>
    </w:p>
    <w:p>
      <w:pPr>
        <w:pStyle w:val="Normal"/>
        <w:rPr>
          <w:rFonts w:ascii="Tahoma" w:hAnsi="Tahoma" w:cs="Tahoma"/>
          <w:b/>
        </w:rPr>
      </w:pPr>
      <w:r>
        <w:rPr>
          <w:rFonts w:cs="Tahoma" w:ascii="Tahoma" w:hAnsi="Tahoma"/>
          <w:b/>
        </w:rPr>
      </w:r>
    </w:p>
    <w:p>
      <w:pPr>
        <w:pStyle w:val="Heading1"/>
        <w:ind w:hanging="0" w:start="0"/>
        <w:jc w:val="end"/>
        <w:rPr>
          <w:rFonts w:ascii="Tahoma" w:hAnsi="Tahoma" w:cs="Tahoma"/>
          <w:b w:val="false"/>
          <w:sz w:val="14"/>
        </w:rPr>
      </w:pPr>
      <w:r>
        <w:rPr>
          <w:rFonts w:cs="Tahoma"/>
          <w:b w:val="false"/>
          <w:sz w:val="14"/>
        </w:rPr>
      </w:r>
    </w:p>
    <w:p>
      <w:pPr>
        <w:pStyle w:val="Heading1"/>
        <w:ind w:hanging="0" w:start="0"/>
        <w:jc w:val="end"/>
        <w:rPr>
          <w:sz w:val="14"/>
        </w:rPr>
      </w:pPr>
      <w:r>
        <w:rPr>
          <w:sz w:val="14"/>
        </w:rPr>
      </w:r>
    </w:p>
    <w:p>
      <w:pPr>
        <w:pStyle w:val="Heading1"/>
        <w:ind w:hanging="0" w:start="0"/>
        <w:jc w:val="end"/>
        <w:rPr>
          <w:sz w:val="16"/>
        </w:rPr>
      </w:pPr>
      <w:r>
        <w:rPr>
          <w:sz w:val="16"/>
        </w:rPr>
      </w:r>
    </w:p>
    <w:p>
      <w:pPr>
        <w:pStyle w:val="Heading1"/>
        <w:ind w:hanging="0" w:start="0"/>
        <w:jc w:val="end"/>
        <w:rPr>
          <w:sz w:val="16"/>
        </w:rPr>
      </w:pPr>
      <w:r>
        <w:rPr>
          <w:sz w:val="16"/>
        </w:rPr>
        <w:t>Company Names:</w:t>
      </w:r>
    </w:p>
    <w:p>
      <w:pPr>
        <w:pStyle w:val="Normal"/>
        <w:jc w:val="end"/>
        <w:rPr/>
      </w:pPr>
      <w:r>
        <w:rPr>
          <w:rFonts w:cs="Tahoma" w:ascii="Tahoma" w:hAnsi="Tahoma"/>
          <w:b/>
          <w:sz w:val="16"/>
        </w:rPr>
        <w:t>EEL:</w:t>
      </w:r>
      <w:r>
        <w:rPr>
          <w:rFonts w:cs="Tahoma" w:ascii="Tahoma" w:hAnsi="Tahoma"/>
          <w:sz w:val="16"/>
        </w:rPr>
        <w:t xml:space="preserve"> Enron Europe Limited</w:t>
      </w:r>
    </w:p>
    <w:p>
      <w:pPr>
        <w:pStyle w:val="Normal"/>
        <w:jc w:val="end"/>
        <w:rPr/>
      </w:pPr>
      <w:r>
        <w:rPr>
          <w:rFonts w:cs="Tahoma" w:ascii="Tahoma" w:hAnsi="Tahoma"/>
          <w:b/>
          <w:sz w:val="16"/>
        </w:rPr>
        <w:t>EEPHL:</w:t>
      </w:r>
      <w:r>
        <w:rPr>
          <w:rFonts w:cs="Tahoma" w:ascii="Tahoma" w:hAnsi="Tahoma"/>
          <w:sz w:val="16"/>
        </w:rPr>
        <w:t xml:space="preserve"> Enron Europe Power Holdings Limited</w:t>
      </w:r>
    </w:p>
    <w:p>
      <w:pPr>
        <w:pStyle w:val="Normal"/>
        <w:jc w:val="end"/>
        <w:rPr/>
      </w:pPr>
      <w:r>
        <w:rPr>
          <w:rFonts w:cs="Tahoma" w:ascii="Tahoma" w:hAnsi="Tahoma"/>
          <w:b/>
          <w:sz w:val="16"/>
        </w:rPr>
        <w:t>EEP:</w:t>
      </w:r>
      <w:r>
        <w:rPr>
          <w:rFonts w:cs="Tahoma" w:ascii="Tahoma" w:hAnsi="Tahoma"/>
          <w:sz w:val="16"/>
        </w:rPr>
        <w:t xml:space="preserve"> Enron Europe Power</w:t>
      </w:r>
    </w:p>
    <w:p>
      <w:pPr>
        <w:pStyle w:val="Normal"/>
        <w:jc w:val="end"/>
        <w:rPr/>
      </w:pPr>
      <w:r>
        <w:rPr>
          <w:rFonts w:cs="Tahoma" w:ascii="Tahoma" w:hAnsi="Tahoma"/>
          <w:b/>
          <w:sz w:val="16"/>
        </w:rPr>
        <w:t>TPHL:</w:t>
      </w:r>
      <w:r>
        <w:rPr>
          <w:rFonts w:cs="Tahoma" w:ascii="Tahoma" w:hAnsi="Tahoma"/>
          <w:sz w:val="16"/>
        </w:rPr>
        <w:t xml:space="preserve"> Teeside Power Holding Limited</w:t>
      </w:r>
    </w:p>
    <w:p>
      <w:pPr>
        <w:pStyle w:val="Normal"/>
        <w:jc w:val="end"/>
        <w:rPr/>
      </w:pPr>
      <w:r>
        <w:rPr>
          <w:rFonts w:cs="Tahoma" w:ascii="Tahoma" w:hAnsi="Tahoma"/>
          <w:b/>
          <w:sz w:val="16"/>
        </w:rPr>
        <w:t>TPL:</w:t>
      </w:r>
      <w:r>
        <w:rPr>
          <w:rFonts w:cs="Tahoma" w:ascii="Tahoma" w:hAnsi="Tahoma"/>
          <w:sz w:val="16"/>
        </w:rPr>
        <w:t xml:space="preserve"> Teeside Power Limited</w:t>
      </w:r>
    </w:p>
    <w:p>
      <w:pPr>
        <w:pStyle w:val="Normal"/>
        <w:jc w:val="end"/>
        <w:rPr/>
      </w:pPr>
      <w:r>
        <w:rPr>
          <w:rFonts w:cs="Tahoma" w:ascii="Tahoma" w:hAnsi="Tahoma"/>
          <w:b/>
          <w:sz w:val="16"/>
        </w:rPr>
        <w:t>RECs:</w:t>
      </w:r>
      <w:r>
        <w:rPr>
          <w:rFonts w:cs="Tahoma" w:ascii="Tahoma" w:hAnsi="Tahoma"/>
          <w:sz w:val="16"/>
        </w:rPr>
        <w:t xml:space="preserve"> Regional Electricity Companies</w:t>
      </w:r>
    </w:p>
    <w:p>
      <w:pPr>
        <w:pStyle w:val="Normal"/>
        <w:jc w:val="end"/>
        <w:rPr/>
      </w:pPr>
      <w:r>
        <w:rPr>
          <w:rFonts w:cs="Tahoma" w:ascii="Tahoma" w:hAnsi="Tahoma"/>
          <w:b/>
          <w:sz w:val="16"/>
        </w:rPr>
        <w:t>EEP1:</w:t>
      </w:r>
      <w:r>
        <w:rPr>
          <w:rFonts w:cs="Tahoma" w:ascii="Tahoma" w:hAnsi="Tahoma"/>
          <w:sz w:val="16"/>
        </w:rPr>
        <w:t xml:space="preserve"> Enron Europe Power 1</w:t>
      </w:r>
    </w:p>
    <w:p>
      <w:pPr>
        <w:pStyle w:val="Normal"/>
        <w:jc w:val="end"/>
        <w:rPr/>
      </w:pPr>
      <w:r>
        <w:rPr>
          <w:rFonts w:cs="Tahoma" w:ascii="Tahoma" w:hAnsi="Tahoma"/>
          <w:b/>
          <w:sz w:val="16"/>
        </w:rPr>
        <w:t>EEP2:</w:t>
      </w:r>
      <w:r>
        <w:rPr>
          <w:rFonts w:cs="Tahoma" w:ascii="Tahoma" w:hAnsi="Tahoma"/>
          <w:sz w:val="16"/>
        </w:rPr>
        <w:t xml:space="preserve"> Enron Europe Power 2</w:t>
      </w:r>
    </w:p>
    <w:p>
      <w:pPr>
        <w:pStyle w:val="Normal"/>
        <w:jc w:val="end"/>
        <w:rPr/>
      </w:pPr>
      <w:r>
        <w:rPr>
          <w:rFonts w:cs="Tahoma" w:ascii="Tahoma" w:hAnsi="Tahoma"/>
          <w:b/>
          <w:sz w:val="16"/>
        </w:rPr>
        <w:t>SM B.V.:</w:t>
      </w:r>
      <w:r>
        <w:rPr>
          <w:rFonts w:cs="Tahoma" w:ascii="Tahoma" w:hAnsi="Tahoma"/>
          <w:sz w:val="16"/>
        </w:rPr>
        <w:t xml:space="preserve"> Strategic Money Management Corporation</w:t>
      </w:r>
    </w:p>
    <w:p>
      <w:pPr>
        <w:pStyle w:val="Normal"/>
        <w:jc w:val="end"/>
        <w:rPr>
          <w:rFonts w:ascii="Tahoma" w:hAnsi="Tahoma" w:cs="Tahoma"/>
        </w:rPr>
      </w:pPr>
      <w:r>
        <w:rPr>
          <w:rFonts w:cs="Tahoma" w:ascii="Tahoma" w:hAnsi="Tahoma"/>
          <w:b/>
          <w:sz w:val="16"/>
        </w:rPr>
        <w:t>Midlands:</w:t>
      </w:r>
      <w:r>
        <w:rPr>
          <w:rFonts w:cs="Tahoma" w:ascii="Tahoma" w:hAnsi="Tahoma"/>
          <w:sz w:val="16"/>
        </w:rPr>
        <w:t xml:space="preserve"> Midland Investors</w:t>
      </w:r>
    </w:p>
    <w:p>
      <w:pPr>
        <w:pStyle w:val="Normal"/>
        <w:rPr>
          <w:rFonts w:ascii="Tahoma" w:hAnsi="Tahoma" w:cs="Tahoma"/>
        </w:rPr>
      </w:pPr>
      <w:r>
        <w:rPr>
          <w:rFonts w:cs="Tahoma" w:ascii="Tahoma" w:hAnsi="Tahoma"/>
        </w:rPr>
      </w:r>
    </w:p>
    <w:p>
      <w:pPr>
        <w:pStyle w:val="Heading1"/>
        <w:ind w:hanging="0" w:start="0"/>
        <w:rPr/>
      </w:pPr>
      <w:r>
        <w:rPr/>
        <w:t>Description</w:t>
      </w:r>
    </w:p>
    <w:p>
      <w:pPr>
        <w:pStyle w:val="Normal"/>
        <w:rPr>
          <w:rFonts w:ascii="Tahoma" w:hAnsi="Tahoma" w:cs="Tahoma"/>
        </w:rPr>
      </w:pPr>
      <w:r>
        <w:rPr>
          <w:rFonts w:cs="Tahoma" w:ascii="Tahoma" w:hAnsi="Tahoma"/>
        </w:rPr>
        <w:t>Sale of financial asset representing all contractual CFs (under SFAS No. 125) with pre-tax gain realised at £47.4m.</w:t>
      </w:r>
    </w:p>
    <w:p>
      <w:pPr>
        <w:pStyle w:val="Heading1"/>
        <w:ind w:hanging="0" w:start="0"/>
        <w:rPr>
          <w:rFonts w:ascii="Tahoma" w:hAnsi="Tahoma" w:cs="Tahoma"/>
        </w:rPr>
      </w:pPr>
      <w:r>
        <w:rPr>
          <w:rFonts w:cs="Tahoma"/>
        </w:rPr>
      </w:r>
    </w:p>
    <w:p>
      <w:pPr>
        <w:pStyle w:val="Heading1"/>
        <w:ind w:hanging="0" w:start="0"/>
        <w:rPr/>
      </w:pPr>
      <w:r>
        <w:rPr/>
        <w:t>Rationale</w:t>
      </w:r>
    </w:p>
    <w:p>
      <w:pPr>
        <w:pStyle w:val="Normal"/>
        <w:numPr>
          <w:ilvl w:val="0"/>
          <w:numId w:val="4"/>
        </w:numPr>
        <w:rPr>
          <w:rFonts w:ascii="Tahoma" w:hAnsi="Tahoma" w:cs="Tahoma"/>
        </w:rPr>
      </w:pPr>
      <w:r>
        <w:rPr>
          <w:rFonts w:cs="Tahoma" w:ascii="Tahoma" w:hAnsi="Tahoma"/>
        </w:rPr>
        <w:t>Keep debt of balance sheet</w:t>
      </w:r>
    </w:p>
    <w:p>
      <w:pPr>
        <w:pStyle w:val="Normal"/>
        <w:numPr>
          <w:ilvl w:val="0"/>
          <w:numId w:val="4"/>
        </w:numPr>
        <w:rPr>
          <w:rFonts w:ascii="Tahoma" w:hAnsi="Tahoma" w:cs="Tahoma"/>
        </w:rPr>
      </w:pPr>
      <w:r>
        <w:rPr>
          <w:rFonts w:cs="Tahoma" w:ascii="Tahoma" w:hAnsi="Tahoma"/>
        </w:rPr>
        <w:t>Recognise gain from sale</w:t>
      </w:r>
    </w:p>
    <w:p>
      <w:pPr>
        <w:pStyle w:val="Normal"/>
        <w:numPr>
          <w:ilvl w:val="0"/>
          <w:numId w:val="4"/>
        </w:numPr>
        <w:rPr>
          <w:rFonts w:ascii="Tahoma" w:hAnsi="Tahoma" w:cs="Tahoma"/>
        </w:rPr>
      </w:pPr>
      <w:r>
        <w:rPr>
          <w:rFonts w:cs="Tahoma" w:ascii="Tahoma" w:hAnsi="Tahoma"/>
        </w:rPr>
        <w:t>Retain strategic control</w:t>
      </w:r>
    </w:p>
    <w:p>
      <w:pPr>
        <w:pStyle w:val="Normal"/>
        <w:numPr>
          <w:ilvl w:val="0"/>
          <w:numId w:val="4"/>
        </w:numPr>
        <w:rPr>
          <w:rFonts w:ascii="Tahoma" w:hAnsi="Tahoma" w:cs="Tahoma"/>
        </w:rPr>
      </w:pPr>
      <w:r>
        <w:rPr>
          <w:rFonts w:cs="Tahoma" w:ascii="Tahoma" w:hAnsi="Tahoma"/>
        </w:rPr>
        <w:t>Create the most efficient US and UK tax treatment</w:t>
      </w:r>
    </w:p>
    <w:p>
      <w:pPr>
        <w:pStyle w:val="Normal"/>
        <w:rPr>
          <w:rFonts w:ascii="Tahoma" w:hAnsi="Tahoma" w:cs="Tahoma"/>
        </w:rPr>
      </w:pPr>
      <w:r>
        <w:rPr>
          <w:rFonts w:cs="Tahoma" w:ascii="Tahoma" w:hAnsi="Tahoma"/>
        </w:rPr>
      </w:r>
    </w:p>
    <w:p>
      <w:pPr>
        <w:pStyle w:val="Heading1"/>
        <w:ind w:hanging="0" w:start="0"/>
        <w:rPr/>
      </w:pPr>
      <w:r>
        <w:rPr/>
        <w:t>Transaction Mechanics</w:t>
      </w:r>
    </w:p>
    <w:p>
      <w:pPr>
        <w:pStyle w:val="Normal"/>
        <w:numPr>
          <w:ilvl w:val="0"/>
          <w:numId w:val="17"/>
        </w:numPr>
        <w:rPr>
          <w:rFonts w:ascii="Tahoma" w:hAnsi="Tahoma" w:cs="Tahoma"/>
        </w:rPr>
      </w:pPr>
      <w:r>
        <w:rPr>
          <w:rFonts w:cs="Tahoma" w:ascii="Tahoma" w:hAnsi="Tahoma"/>
        </w:rPr>
        <w:t>Unwinding of the Riverside II equity transaction</w:t>
      </w:r>
    </w:p>
    <w:p>
      <w:pPr>
        <w:pStyle w:val="Normal"/>
        <w:numPr>
          <w:ilvl w:val="0"/>
          <w:numId w:val="17"/>
        </w:numPr>
        <w:rPr>
          <w:rFonts w:ascii="Tahoma" w:hAnsi="Tahoma" w:cs="Tahoma"/>
        </w:rPr>
      </w:pPr>
      <w:r>
        <w:rPr>
          <w:rFonts w:cs="Tahoma" w:ascii="Tahoma" w:hAnsi="Tahoma"/>
        </w:rPr>
        <w:t xml:space="preserve">Unwinding of the Riverside II’s Total Return Swap (TRS).  </w:t>
      </w:r>
    </w:p>
    <w:p>
      <w:pPr>
        <w:pStyle w:val="Normal"/>
        <w:numPr>
          <w:ilvl w:val="0"/>
          <w:numId w:val="17"/>
        </w:numPr>
        <w:rPr>
          <w:rFonts w:ascii="Tahoma" w:hAnsi="Tahoma" w:cs="Tahoma"/>
          <w:u w:val="single"/>
        </w:rPr>
      </w:pPr>
      <w:r>
        <w:rPr>
          <w:rFonts w:cs="Tahoma" w:ascii="Tahoma" w:hAnsi="Tahoma"/>
        </w:rPr>
        <w:t>Sale of EEP’s investments in TPHL/TPL to EEP1 Limited (a US off balance QSPE).</w:t>
      </w:r>
    </w:p>
    <w:p>
      <w:pPr>
        <w:pStyle w:val="Normal"/>
        <w:numPr>
          <w:ilvl w:val="0"/>
          <w:numId w:val="17"/>
        </w:numPr>
        <w:rPr>
          <w:rFonts w:ascii="Tahoma" w:hAnsi="Tahoma" w:cs="Tahoma"/>
          <w:u w:val="single"/>
        </w:rPr>
      </w:pPr>
      <w:r>
        <w:rPr>
          <w:rFonts w:cs="Tahoma" w:ascii="Tahoma" w:hAnsi="Tahoma"/>
        </w:rPr>
        <w:t xml:space="preserve">EEP1 in turn issues Pref Shares to EEP2 Limited (QSPE). </w:t>
      </w:r>
    </w:p>
    <w:p>
      <w:pPr>
        <w:pStyle w:val="Normal"/>
        <w:rPr>
          <w:rFonts w:ascii="Tahoma" w:hAnsi="Tahoma" w:cs="Tahoma"/>
          <w:u w:val="single"/>
        </w:rPr>
      </w:pPr>
      <w:r>
        <w:rPr>
          <w:rFonts w:cs="Tahoma" w:ascii="Tahoma" w:hAnsi="Tahoma"/>
          <w:u w:val="single"/>
        </w:rPr>
      </w:r>
    </w:p>
    <w:p>
      <w:pPr>
        <w:pStyle w:val="Normal"/>
        <w:rPr>
          <w:rFonts w:ascii="Tahoma" w:hAnsi="Tahoma" w:cs="Tahoma"/>
          <w:u w:val="single"/>
        </w:rPr>
      </w:pPr>
      <w:r>
        <w:rPr>
          <w:rFonts w:cs="Tahoma" w:ascii="Tahoma" w:hAnsi="Tahoma"/>
          <w:u w:val="single"/>
        </w:rPr>
        <w:t>Off-balance sheet treatment</w:t>
      </w:r>
    </w:p>
    <w:p>
      <w:pPr>
        <w:pStyle w:val="Normal"/>
        <w:numPr>
          <w:ilvl w:val="0"/>
          <w:numId w:val="12"/>
        </w:numPr>
        <w:rPr>
          <w:rFonts w:ascii="Tahoma" w:hAnsi="Tahoma" w:cs="Tahoma"/>
        </w:rPr>
      </w:pPr>
      <w:r>
        <w:rPr>
          <w:rFonts w:cs="Tahoma" w:ascii="Tahoma" w:hAnsi="Tahoma"/>
        </w:rPr>
        <w:t xml:space="preserve">QSPEs are not consolidated by any entity even if it owns 100% of QSPE’s ordinary shares. This is because QSPE is so limited by its governing documents, that it is theoretically impossible for another entity to control it.  EEP1 and EEP2 are, therefore, not consolidating entities. </w:t>
      </w:r>
    </w:p>
    <w:p>
      <w:pPr>
        <w:pStyle w:val="Normal"/>
        <w:numPr>
          <w:ilvl w:val="0"/>
          <w:numId w:val="14"/>
        </w:numPr>
        <w:rPr>
          <w:rFonts w:ascii="Tahoma" w:hAnsi="Tahoma" w:cs="Tahoma"/>
        </w:rPr>
      </w:pPr>
      <w:r>
        <w:rPr>
          <w:rFonts w:cs="Tahoma" w:ascii="Tahoma" w:hAnsi="Tahoma"/>
        </w:rPr>
        <w:t>In this case, the reason for unwinding of the Riverside II structure and transferring the ownership to newly created QSPEs, was to keep debt of balance sheet.</w:t>
      </w:r>
    </w:p>
    <w:p>
      <w:pPr>
        <w:pStyle w:val="Normal"/>
        <w:rPr>
          <w:rFonts w:ascii="Tahoma" w:hAnsi="Tahoma" w:cs="Tahoma"/>
        </w:rPr>
      </w:pPr>
      <w:r>
        <w:rPr>
          <w:rFonts w:cs="Tahoma" w:ascii="Tahoma" w:hAnsi="Tahoma"/>
        </w:rPr>
      </w:r>
    </w:p>
    <w:p>
      <w:pPr>
        <w:pStyle w:val="Heading1"/>
        <w:ind w:hanging="0" w:start="0"/>
        <w:rPr/>
      </w:pPr>
      <w:r>
        <w:rPr/>
        <w:t>Transaction Steps</w:t>
        <w:tab/>
        <w:tab/>
        <w:tab/>
        <w:tab/>
        <w:tab/>
      </w:r>
    </w:p>
    <w:p>
      <w:pPr>
        <w:pStyle w:val="Heading2"/>
        <w:ind w:hanging="0" w:start="0"/>
        <w:rPr>
          <w:i w:val="false"/>
          <w:i w:val="false"/>
          <w:u w:val="single"/>
        </w:rPr>
      </w:pPr>
      <w:r>
        <w:rPr>
          <w:i w:val="false"/>
          <w:u w:val="single"/>
        </w:rPr>
        <w:t>Transaction 1 – Riverside II (Equity + TRS) unwound</w:t>
        <w:tab/>
        <w:tab/>
        <w:tab/>
        <w:tab/>
        <w:tab/>
        <w:tab/>
      </w:r>
    </w:p>
    <w:p>
      <w:pPr>
        <w:pStyle w:val="Normal"/>
        <w:numPr>
          <w:ilvl w:val="0"/>
          <w:numId w:val="7"/>
        </w:numPr>
        <w:rPr>
          <w:rFonts w:ascii="Tahoma" w:hAnsi="Tahoma" w:cs="Tahoma"/>
        </w:rPr>
      </w:pPr>
      <w:r>
        <w:rPr>
          <w:rFonts w:cs="Tahoma" w:ascii="Tahoma" w:hAnsi="Tahoma"/>
        </w:rPr>
        <w:t>The Riverside II TRS between ECTR and MGT is terminated early.  The swap termination payments were made (£9.2m).</w:t>
      </w:r>
    </w:p>
    <w:p>
      <w:pPr>
        <w:pStyle w:val="Normal"/>
        <w:numPr>
          <w:ilvl w:val="0"/>
          <w:numId w:val="7"/>
        </w:numPr>
        <w:rPr>
          <w:rFonts w:ascii="Tahoma" w:hAnsi="Tahoma" w:cs="Tahoma"/>
        </w:rPr>
      </w:pPr>
      <w:r>
        <w:rPr>
          <w:rFonts w:cs="Tahoma" w:ascii="Tahoma" w:hAnsi="Tahoma"/>
        </w:rPr>
        <w:t>On 29th June EEPHL is converted to an unlimited liability company so it may repurchase its shares and avoid paying stamp duties.</w:t>
        <w:tab/>
        <w:tab/>
        <w:tab/>
        <w:tab/>
      </w:r>
    </w:p>
    <w:p>
      <w:pPr>
        <w:pStyle w:val="Normal"/>
        <w:numPr>
          <w:ilvl w:val="0"/>
          <w:numId w:val="7"/>
        </w:numPr>
        <w:rPr>
          <w:rFonts w:ascii="Tahoma" w:hAnsi="Tahoma" w:cs="Tahoma"/>
        </w:rPr>
      </w:pPr>
      <w:r>
        <w:rPr>
          <w:rFonts w:cs="Tahoma" w:ascii="Tahoma" w:hAnsi="Tahoma"/>
        </w:rPr>
        <w:t>EEPHL, an unlimited company, repurchases SMM’s A ords at a market value of £50m and retires them under the Capital Return Agreement.  This action brings EEPHL on balance sheet for EEL consolidation purposes. (EEL controls 100% of EEP owned by.)</w:t>
      </w:r>
    </w:p>
    <w:p>
      <w:pPr>
        <w:pStyle w:val="Normal"/>
        <w:numPr>
          <w:ilvl w:val="0"/>
          <w:numId w:val="11"/>
        </w:numPr>
        <w:rPr>
          <w:rFonts w:ascii="Tahoma" w:hAnsi="Tahoma" w:cs="Tahoma"/>
        </w:rPr>
      </w:pPr>
      <w:r>
        <w:rPr>
          <w:rFonts w:cs="Tahoma" w:ascii="Tahoma" w:hAnsi="Tahoma"/>
        </w:rPr>
        <w:t>EEPHL will transfer its shares to EEL &amp; will be out of TPL chain.</w:t>
      </w:r>
    </w:p>
    <w:p>
      <w:pPr>
        <w:pStyle w:val="Normal"/>
        <w:rPr>
          <w:rFonts w:ascii="Tahoma" w:hAnsi="Tahoma" w:cs="Tahoma"/>
        </w:rPr>
      </w:pPr>
      <w:r>
        <w:rPr>
          <w:rFonts w:cs="Tahoma" w:ascii="Tahoma" w:hAnsi="Tahoma"/>
        </w:rPr>
        <w:tab/>
        <w:tab/>
        <w:tab/>
        <w:tab/>
        <w:tab/>
        <w:tab/>
        <w:tab/>
        <w:tab/>
        <w:tab/>
        <w:tab/>
        <w:tab/>
      </w:r>
    </w:p>
    <w:p>
      <w:pPr>
        <w:pStyle w:val="Heading3"/>
        <w:ind w:hanging="0" w:start="0"/>
        <w:rPr>
          <w:i w:val="false"/>
          <w:i w:val="false"/>
        </w:rPr>
      </w:pPr>
      <w:r>
        <w:rPr>
          <w:i w:val="false"/>
        </w:rPr>
        <w:t>Transaction 2 – Creation of QSPE’s and Disposal of EEP’s Investments in TPHL/TPL</w:t>
        <w:tab/>
      </w:r>
    </w:p>
    <w:p>
      <w:pPr>
        <w:pStyle w:val="Normal"/>
        <w:numPr>
          <w:ilvl w:val="0"/>
          <w:numId w:val="10"/>
        </w:numPr>
        <w:rPr>
          <w:rFonts w:ascii="Tahoma" w:hAnsi="Tahoma" w:cs="Tahoma"/>
        </w:rPr>
      </w:pPr>
      <w:r>
        <w:rPr>
          <w:rFonts w:cs="Tahoma" w:ascii="Tahoma" w:hAnsi="Tahoma"/>
        </w:rPr>
        <w:t>On 26th June 1998 EEP 1 and EEP2 becomes QSPEs for the purpose of gain recognition.</w:t>
        <w:tab/>
      </w:r>
    </w:p>
    <w:p>
      <w:pPr>
        <w:pStyle w:val="Normal"/>
        <w:numPr>
          <w:ilvl w:val="0"/>
          <w:numId w:val="10"/>
        </w:numPr>
        <w:rPr>
          <w:rFonts w:ascii="Tahoma" w:hAnsi="Tahoma" w:cs="Tahoma"/>
        </w:rPr>
      </w:pPr>
      <w:r>
        <w:rPr>
          <w:rFonts w:cs="Tahoma" w:ascii="Tahoma" w:hAnsi="Tahoma"/>
        </w:rPr>
        <w:t>EEP1 is formed for the sole purpose of acquiring EEP’s investments in TPHL at a fair market value of £201.1m.  EEP funds this acquisition by</w:t>
      </w:r>
    </w:p>
    <w:p>
      <w:pPr>
        <w:pStyle w:val="Normal"/>
        <w:numPr>
          <w:ilvl w:val="0"/>
          <w:numId w:val="5"/>
        </w:numPr>
        <w:rPr>
          <w:rFonts w:ascii="Tahoma" w:hAnsi="Tahoma" w:cs="Tahoma"/>
        </w:rPr>
      </w:pPr>
      <w:r>
        <w:rPr>
          <w:rFonts w:cs="Tahoma" w:ascii="Tahoma" w:hAnsi="Tahoma"/>
        </w:rPr>
        <w:t xml:space="preserve">issuing £154m in fixed rate cumulative pref shares (10.25%) to EEP2 </w:t>
      </w:r>
    </w:p>
    <w:p>
      <w:pPr>
        <w:pStyle w:val="Normal"/>
        <w:numPr>
          <w:ilvl w:val="0"/>
          <w:numId w:val="5"/>
        </w:numPr>
        <w:rPr>
          <w:rFonts w:ascii="Tahoma" w:hAnsi="Tahoma" w:cs="Tahoma"/>
        </w:rPr>
      </w:pPr>
      <w:r>
        <w:rPr>
          <w:rFonts w:cs="Tahoma" w:ascii="Tahoma" w:hAnsi="Tahoma"/>
        </w:rPr>
        <w:t>issuing additional 50 ordinary shares at a premium of £46.1m to EEL =&gt; EEL has 100% ownership of EEP1 =&gt; it retains the post contractual returns in EEP1</w:t>
      </w:r>
    </w:p>
    <w:p>
      <w:pPr>
        <w:pStyle w:val="Normal"/>
        <w:numPr>
          <w:ilvl w:val="0"/>
          <w:numId w:val="3"/>
        </w:numPr>
        <w:rPr>
          <w:rFonts w:ascii="Tahoma" w:hAnsi="Tahoma" w:cs="Tahoma"/>
        </w:rPr>
      </w:pPr>
      <w:r>
        <w:rPr>
          <w:rFonts w:cs="Tahoma" w:ascii="Tahoma" w:hAnsi="Tahoma"/>
        </w:rPr>
        <w:t>EEP2 funds this subscription by:</w:t>
      </w:r>
    </w:p>
    <w:p>
      <w:pPr>
        <w:pStyle w:val="Normal"/>
        <w:numPr>
          <w:ilvl w:val="0"/>
          <w:numId w:val="8"/>
        </w:numPr>
        <w:tabs>
          <w:tab w:val="left" w:pos="720" w:leader="none"/>
        </w:tabs>
        <w:ind w:hanging="360" w:start="720" w:end="0"/>
        <w:rPr>
          <w:rFonts w:ascii="Tahoma" w:hAnsi="Tahoma" w:cs="Tahoma"/>
        </w:rPr>
      </w:pPr>
      <w:r>
        <w:rPr>
          <w:rFonts w:cs="Tahoma" w:ascii="Tahoma" w:hAnsi="Tahoma"/>
        </w:rPr>
        <w:t xml:space="preserve">a term facility agreement for £154m </w:t>
      </w:r>
    </w:p>
    <w:p>
      <w:pPr>
        <w:pStyle w:val="Normal"/>
        <w:ind w:firstLine="360" w:start="360" w:end="0"/>
        <w:rPr>
          <w:rFonts w:ascii="Tahoma" w:hAnsi="Tahoma" w:cs="Tahoma"/>
        </w:rPr>
      </w:pPr>
      <w:r>
        <w:rPr>
          <w:rFonts w:cs="Tahoma" w:ascii="Tahoma" w:hAnsi="Tahoma"/>
        </w:rPr>
        <w:t>Term: 9 months =&gt;maturity on March 31, 1999</w:t>
      </w:r>
    </w:p>
    <w:p>
      <w:pPr>
        <w:pStyle w:val="Normal"/>
        <w:tabs>
          <w:tab w:val="clear" w:pos="720"/>
          <w:tab w:val="left" w:pos="360" w:leader="none"/>
        </w:tabs>
        <w:ind w:firstLine="360" w:start="360" w:end="0"/>
        <w:rPr>
          <w:rFonts w:ascii="Tahoma" w:hAnsi="Tahoma" w:cs="Tahoma"/>
        </w:rPr>
      </w:pPr>
      <w:r>
        <w:rPr>
          <w:rFonts w:cs="Tahoma" w:ascii="Tahoma" w:hAnsi="Tahoma"/>
        </w:rPr>
        <w:t>Bank: BTI/CIBC</w:t>
      </w:r>
    </w:p>
    <w:p>
      <w:pPr>
        <w:pStyle w:val="Normal"/>
        <w:tabs>
          <w:tab w:val="clear" w:pos="720"/>
          <w:tab w:val="left" w:pos="360" w:leader="none"/>
        </w:tabs>
        <w:ind w:firstLine="360" w:start="360" w:end="0"/>
        <w:rPr>
          <w:rFonts w:ascii="Tahoma" w:hAnsi="Tahoma" w:cs="Tahoma"/>
        </w:rPr>
      </w:pPr>
      <w:r>
        <w:rPr>
          <w:rFonts w:cs="Tahoma" w:ascii="Tahoma" w:hAnsi="Tahoma"/>
        </w:rPr>
        <w:t>Pricing: LIBOR+45</w:t>
      </w:r>
    </w:p>
    <w:p>
      <w:pPr>
        <w:pStyle w:val="Normal"/>
        <w:tabs>
          <w:tab w:val="clear" w:pos="720"/>
          <w:tab w:val="left" w:pos="360" w:leader="none"/>
        </w:tabs>
        <w:ind w:firstLine="360" w:start="360" w:end="0"/>
        <w:rPr>
          <w:rFonts w:ascii="Tahoma" w:hAnsi="Tahoma" w:cs="Tahoma"/>
        </w:rPr>
      </w:pPr>
      <w:r>
        <w:rPr>
          <w:rFonts w:cs="Tahoma" w:ascii="Tahoma" w:hAnsi="Tahoma"/>
        </w:rPr>
        <w:t>Loan guaranteed by EEL, and backed by Enron Corp</w:t>
      </w:r>
    </w:p>
    <w:p>
      <w:pPr>
        <w:pStyle w:val="Heading1"/>
        <w:tabs>
          <w:tab w:val="left" w:pos="720" w:leader="none"/>
        </w:tabs>
        <w:ind w:hanging="0" w:start="720" w:end="0"/>
        <w:rPr>
          <w:b w:val="false"/>
        </w:rPr>
      </w:pPr>
      <w:r>
        <w:rPr>
          <w:b w:val="false"/>
        </w:rPr>
        <w:t>Repayment of the liability: This loan is pre-payable upon demand (accelerated) on January 15, 1999. On termination of the Term Facility on 31st March 1999, the only way that EEP2 can repay the Term Facility is to liquidate its EEP1 Preference Shares through an auction process and use the proceeds to repay the principal under the facility.  Should BTI/CIBC terminate the Term Facility early, however, EEL can make an offer for the EEP1 Preference Shares.</w:t>
      </w:r>
    </w:p>
    <w:p>
      <w:pPr>
        <w:pStyle w:val="Heading1"/>
        <w:numPr>
          <w:ilvl w:val="0"/>
          <w:numId w:val="8"/>
        </w:numPr>
        <w:tabs>
          <w:tab w:val="left" w:pos="720" w:leader="none"/>
        </w:tabs>
        <w:ind w:hanging="360" w:start="720" w:end="0"/>
        <w:rPr>
          <w:b w:val="false"/>
        </w:rPr>
      </w:pPr>
      <w:r>
        <w:rPr>
          <w:b w:val="false"/>
        </w:rPr>
        <w:t>Issuing additional 20 ordinary shares at a premium of £1.2m to EEL to fund its transaction costs =&gt; EEL has 100% ownership of EEP2 =&gt; it retains the post contractual returns in EEP2</w:t>
      </w:r>
    </w:p>
    <w:p>
      <w:pPr>
        <w:pStyle w:val="Normal"/>
        <w:numPr>
          <w:ilvl w:val="0"/>
          <w:numId w:val="6"/>
        </w:numPr>
        <w:rPr>
          <w:rFonts w:ascii="Tahoma" w:hAnsi="Tahoma" w:cs="Tahoma"/>
        </w:rPr>
      </w:pPr>
      <w:r>
        <w:rPr>
          <w:rFonts w:cs="Tahoma" w:ascii="Tahoma" w:hAnsi="Tahoma"/>
        </w:rPr>
        <w:t>Result of these transactions is a pre-tax gain of £34.6m positive cash inflow of £154m to ECT.</w:t>
      </w:r>
    </w:p>
    <w:p>
      <w:pPr>
        <w:pStyle w:val="Normal"/>
        <w:rPr>
          <w:rFonts w:ascii="Tahoma" w:hAnsi="Tahoma" w:cs="Tahoma"/>
        </w:rPr>
      </w:pPr>
      <w:r>
        <w:rPr>
          <w:rFonts w:cs="Tahoma" w:ascii="Tahoma" w:hAnsi="Tahoma"/>
        </w:rPr>
        <w:tab/>
        <w:tab/>
      </w:r>
    </w:p>
    <w:p>
      <w:pPr>
        <w:pStyle w:val="Heading4"/>
        <w:ind w:hanging="0" w:start="0"/>
        <w:rPr>
          <w:b/>
          <w:u w:val="none"/>
        </w:rPr>
      </w:pPr>
      <w:r>
        <w:rPr>
          <w:b/>
          <w:u w:val="none"/>
        </w:rPr>
        <w:t>Gain Recognition</w:t>
      </w:r>
    </w:p>
    <w:p>
      <w:pPr>
        <w:pStyle w:val="Heading4"/>
        <w:ind w:hanging="0" w:start="0"/>
        <w:rPr/>
      </w:pPr>
      <w:r>
        <w:rPr>
          <w:u w:val="none"/>
        </w:rPr>
        <w:t>The gain arises from the sale of EEP’s of interests in TPHL (ords and pref shares) to EEP1, which, in turn, issues beneficial interests to a further QSPE (EEP2).</w:t>
      </w:r>
      <w:r>
        <w:rPr/>
        <w:t xml:space="preserve">  </w:t>
      </w:r>
    </w:p>
    <w:p>
      <w:pPr>
        <w:pStyle w:val="Normal"/>
        <w:numPr>
          <w:ilvl w:val="0"/>
          <w:numId w:val="15"/>
        </w:numPr>
        <w:rPr>
          <w:rFonts w:ascii="Tahoma" w:hAnsi="Tahoma" w:cs="Tahoma"/>
        </w:rPr>
      </w:pPr>
      <w:r>
        <w:rPr>
          <w:rFonts w:cs="Tahoma" w:ascii="Tahoma" w:hAnsi="Tahoma"/>
        </w:rPr>
        <w:t xml:space="preserve">The key to gain recognition is the fact that both EEP1 and EEP2 are QSPEs.  </w:t>
      </w:r>
    </w:p>
    <w:p>
      <w:pPr>
        <w:pStyle w:val="Normal"/>
        <w:numPr>
          <w:ilvl w:val="0"/>
          <w:numId w:val="15"/>
        </w:numPr>
        <w:rPr>
          <w:rFonts w:ascii="Tahoma" w:hAnsi="Tahoma" w:cs="Tahoma"/>
        </w:rPr>
      </w:pPr>
      <w:r>
        <w:rPr>
          <w:rFonts w:cs="Tahoma" w:ascii="Tahoma" w:hAnsi="Tahoma"/>
        </w:rPr>
        <w:t xml:space="preserve">A two-stage sale was necessary because under recent interpretations of FAS 125, QSPE’s are no longer able to originate financial assets.  To simply convert EEP to a QSPE would not have achieved gain recognition because on selling its investments in TPHL, EEP would not have been able to utilise the cash to subscribe for EEL Group financial instruments.  There would, therefore, have been no way of getting the funds to the EEL Group; in such circumstances, EEL would not be able to recognise a gain as the cash would have been trapped in an off balance sheet QSPE.  By undertaking two-stage sale gain recognition was possible as the EEL group retains the cash from EEP1’s purchase of EEP’s investments. </w:t>
      </w:r>
    </w:p>
    <w:p>
      <w:pPr>
        <w:pStyle w:val="Normal"/>
        <w:numPr>
          <w:ilvl w:val="0"/>
          <w:numId w:val="2"/>
        </w:numPr>
        <w:rPr/>
      </w:pPr>
      <w:r>
        <w:rPr/>
        <w:t>Riverside III has effectively only sold the contractual period cashflows; cashflows post 31st March 2008 have been retained by EEL.  Under the Articles of Association of EEP2, EEP2 is obliged to liquidate by 31st March 2008.  In calculating the gain on disposal, therefore, Enron’s basis in TPHL has been allocated between the pre and post contractual period.</w:t>
        <w:tab/>
        <w:tab/>
        <w:tab/>
        <w:tab/>
        <w:tab/>
        <w:tab/>
        <w:tab/>
        <w:tab/>
        <w:tab/>
        <w:tab/>
        <w:tab/>
        <w:tab/>
        <w:tab/>
        <w:tab/>
        <w:tab/>
      </w:r>
    </w:p>
    <w:p>
      <w:pPr>
        <w:pStyle w:val="Heading1"/>
        <w:ind w:hanging="0" w:start="0"/>
        <w:rPr/>
      </w:pPr>
      <w:r>
        <w:rPr/>
        <w:t>Gain Calculation</w:t>
      </w:r>
    </w:p>
    <w:p>
      <w:pPr>
        <w:pStyle w:val="Heading1"/>
        <w:ind w:hanging="0" w:start="0"/>
        <w:rPr/>
      </w:pPr>
      <w:r>
        <w:rPr/>
        <w:tab/>
        <w:tab/>
        <w:tab/>
        <w:tab/>
        <w:tab/>
        <w:tab/>
        <w:tab/>
      </w:r>
    </w:p>
    <w:p>
      <w:pPr>
        <w:pStyle w:val="Normal"/>
        <w:numPr>
          <w:ilvl w:val="0"/>
          <w:numId w:val="13"/>
        </w:numPr>
        <w:rPr>
          <w:rFonts w:ascii="Tahoma" w:hAnsi="Tahoma" w:cs="Tahoma"/>
        </w:rPr>
      </w:pPr>
      <w:r>
        <w:rPr>
          <w:rFonts w:cs="Tahoma" w:ascii="Tahoma" w:hAnsi="Tahoma"/>
        </w:rPr>
        <w:t>Allocation of basis between contractual and post contractual period (EEP level)</w:t>
      </w:r>
    </w:p>
    <w:tbl>
      <w:tblPr>
        <w:tblW w:w="8363" w:type="dxa"/>
        <w:jc w:val="start"/>
        <w:tblInd w:w="534" w:type="dxa"/>
        <w:tblLayout w:type="fixed"/>
        <w:tblCellMar>
          <w:top w:w="0" w:type="dxa"/>
          <w:start w:w="108" w:type="dxa"/>
          <w:bottom w:w="0" w:type="dxa"/>
          <w:end w:w="108" w:type="dxa"/>
        </w:tblCellMar>
      </w:tblPr>
      <w:tblGrid>
        <w:gridCol w:w="3260"/>
        <w:gridCol w:w="2693"/>
        <w:gridCol w:w="2410"/>
      </w:tblGrid>
      <w:tr>
        <w:trPr/>
        <w:tc>
          <w:tcPr>
            <w:tcW w:w="3260" w:type="dxa"/>
            <w:tcBorders>
              <w:top w:val="single" w:sz="4" w:space="0" w:color="000000"/>
              <w:start w:val="single" w:sz="4" w:space="0" w:color="000000"/>
              <w:end w:val="single" w:sz="4" w:space="0" w:color="000000"/>
            </w:tcBorders>
          </w:tcPr>
          <w:p>
            <w:pPr>
              <w:pStyle w:val="Normal"/>
              <w:jc w:val="both"/>
              <w:rPr>
                <w:rFonts w:ascii="Tahoma" w:hAnsi="Tahoma" w:cs="Tahoma"/>
              </w:rPr>
            </w:pPr>
            <w:r>
              <w:rPr>
                <w:rFonts w:cs="Tahoma" w:ascii="Tahoma" w:hAnsi="Tahoma"/>
              </w:rPr>
              <w:t>NPV of contractual period</w:t>
            </w:r>
          </w:p>
        </w:tc>
        <w:tc>
          <w:tcPr>
            <w:tcW w:w="2693" w:type="dxa"/>
            <w:tcBorders>
              <w:top w:val="single" w:sz="4" w:space="0" w:color="000000"/>
              <w:start w:val="single" w:sz="4" w:space="0" w:color="000000"/>
              <w:end w:val="single" w:sz="4" w:space="0" w:color="000000"/>
            </w:tcBorders>
          </w:tcPr>
          <w:p>
            <w:pPr>
              <w:pStyle w:val="Normal"/>
              <w:jc w:val="end"/>
              <w:rPr>
                <w:rFonts w:ascii="Tahoma" w:hAnsi="Tahoma" w:cs="Tahoma"/>
              </w:rPr>
            </w:pPr>
            <w:r>
              <w:rPr>
                <w:rFonts w:cs="Tahoma" w:ascii="Tahoma" w:hAnsi="Tahoma"/>
              </w:rPr>
              <w:t>£155.9m</w:t>
            </w:r>
          </w:p>
        </w:tc>
        <w:tc>
          <w:tcPr>
            <w:tcW w:w="2410" w:type="dxa"/>
            <w:tcBorders>
              <w:top w:val="single" w:sz="4" w:space="0" w:color="000000"/>
              <w:start w:val="single" w:sz="4" w:space="0" w:color="000000"/>
              <w:end w:val="single" w:sz="4" w:space="0" w:color="000000"/>
            </w:tcBorders>
          </w:tcPr>
          <w:p>
            <w:pPr>
              <w:pStyle w:val="Normal"/>
              <w:jc w:val="end"/>
              <w:rPr>
                <w:rFonts w:ascii="Tahoma" w:hAnsi="Tahoma" w:cs="Tahoma"/>
              </w:rPr>
            </w:pPr>
            <w:r>
              <w:rPr>
                <w:rFonts w:cs="Tahoma" w:ascii="Tahoma" w:hAnsi="Tahoma"/>
              </w:rPr>
              <w:t>77.9%</w:t>
            </w:r>
          </w:p>
        </w:tc>
      </w:tr>
      <w:tr>
        <w:trPr/>
        <w:tc>
          <w:tcPr>
            <w:tcW w:w="3260" w:type="dxa"/>
            <w:tcBorders>
              <w:top w:val="single" w:sz="4" w:space="0" w:color="000000"/>
              <w:start w:val="single" w:sz="4" w:space="0" w:color="000000"/>
              <w:bottom w:val="single" w:sz="12" w:space="0" w:color="000000"/>
              <w:end w:val="single" w:sz="4" w:space="0" w:color="000000"/>
            </w:tcBorders>
          </w:tcPr>
          <w:p>
            <w:pPr>
              <w:pStyle w:val="Normal"/>
              <w:jc w:val="both"/>
              <w:rPr>
                <w:rFonts w:ascii="Tahoma" w:hAnsi="Tahoma" w:cs="Tahoma"/>
              </w:rPr>
            </w:pPr>
            <w:r>
              <w:rPr>
                <w:rFonts w:cs="Tahoma" w:ascii="Tahoma" w:hAnsi="Tahoma"/>
              </w:rPr>
              <w:t>NPV of post contractual period</w:t>
            </w:r>
          </w:p>
        </w:tc>
        <w:tc>
          <w:tcPr>
            <w:tcW w:w="2693" w:type="dxa"/>
            <w:tcBorders>
              <w:top w:val="single" w:sz="4" w:space="0" w:color="000000"/>
              <w:start w:val="single" w:sz="4" w:space="0" w:color="000000"/>
              <w:bottom w:val="single" w:sz="12" w:space="0" w:color="000000"/>
              <w:end w:val="single" w:sz="4" w:space="0" w:color="000000"/>
            </w:tcBorders>
          </w:tcPr>
          <w:p>
            <w:pPr>
              <w:pStyle w:val="Normal"/>
              <w:jc w:val="end"/>
              <w:rPr>
                <w:rFonts w:ascii="Tahoma" w:hAnsi="Tahoma" w:cs="Tahoma"/>
              </w:rPr>
            </w:pPr>
            <w:r>
              <w:rPr>
                <w:rFonts w:cs="Tahoma" w:ascii="Tahoma" w:hAnsi="Tahoma"/>
              </w:rPr>
              <w:t>£44.2m</w:t>
            </w:r>
          </w:p>
        </w:tc>
        <w:tc>
          <w:tcPr>
            <w:tcW w:w="2410" w:type="dxa"/>
            <w:tcBorders>
              <w:top w:val="single" w:sz="4" w:space="0" w:color="000000"/>
              <w:start w:val="single" w:sz="4" w:space="0" w:color="000000"/>
              <w:bottom w:val="single" w:sz="12" w:space="0" w:color="000000"/>
              <w:end w:val="single" w:sz="4" w:space="0" w:color="000000"/>
            </w:tcBorders>
          </w:tcPr>
          <w:p>
            <w:pPr>
              <w:pStyle w:val="Normal"/>
              <w:jc w:val="end"/>
              <w:rPr>
                <w:rFonts w:ascii="Tahoma" w:hAnsi="Tahoma" w:cs="Tahoma"/>
              </w:rPr>
            </w:pPr>
            <w:r>
              <w:rPr>
                <w:rFonts w:cs="Tahoma" w:ascii="Tahoma" w:hAnsi="Tahoma"/>
              </w:rPr>
              <w:t>22.1%</w:t>
            </w:r>
          </w:p>
        </w:tc>
      </w:tr>
      <w:tr>
        <w:trPr/>
        <w:tc>
          <w:tcPr>
            <w:tcW w:w="3260" w:type="dxa"/>
            <w:tcBorders>
              <w:start w:val="single" w:sz="4" w:space="0" w:color="000000"/>
              <w:bottom w:val="single" w:sz="4" w:space="0" w:color="000000"/>
              <w:end w:val="single" w:sz="4" w:space="0" w:color="000000"/>
            </w:tcBorders>
          </w:tcPr>
          <w:p>
            <w:pPr>
              <w:pStyle w:val="Normal"/>
              <w:jc w:val="both"/>
              <w:rPr>
                <w:rFonts w:ascii="Tahoma" w:hAnsi="Tahoma" w:cs="Tahoma"/>
              </w:rPr>
            </w:pPr>
            <w:r>
              <w:rPr>
                <w:rFonts w:cs="Tahoma" w:ascii="Tahoma" w:hAnsi="Tahoma"/>
              </w:rPr>
              <w:t>Total</w:t>
            </w:r>
          </w:p>
        </w:tc>
        <w:tc>
          <w:tcPr>
            <w:tcW w:w="2693" w:type="dxa"/>
            <w:tcBorders>
              <w:start w:val="single" w:sz="4" w:space="0" w:color="000000"/>
              <w:bottom w:val="single" w:sz="4" w:space="0" w:color="000000"/>
              <w:end w:val="single" w:sz="4" w:space="0" w:color="000000"/>
            </w:tcBorders>
          </w:tcPr>
          <w:p>
            <w:pPr>
              <w:pStyle w:val="Normal"/>
              <w:jc w:val="end"/>
              <w:rPr>
                <w:rFonts w:ascii="Tahoma" w:hAnsi="Tahoma" w:cs="Tahoma"/>
              </w:rPr>
            </w:pPr>
            <w:r>
              <w:rPr>
                <w:rFonts w:cs="Tahoma" w:ascii="Tahoma" w:hAnsi="Tahoma"/>
              </w:rPr>
              <w:t>£200.1m</w:t>
            </w:r>
          </w:p>
        </w:tc>
        <w:tc>
          <w:tcPr>
            <w:tcW w:w="2410" w:type="dxa"/>
            <w:tcBorders>
              <w:start w:val="single" w:sz="4" w:space="0" w:color="000000"/>
              <w:bottom w:val="single" w:sz="4" w:space="0" w:color="000000"/>
              <w:end w:val="single" w:sz="4" w:space="0" w:color="000000"/>
            </w:tcBorders>
          </w:tcPr>
          <w:p>
            <w:pPr>
              <w:pStyle w:val="Normal"/>
              <w:jc w:val="end"/>
              <w:rPr>
                <w:rFonts w:ascii="Tahoma" w:hAnsi="Tahoma" w:cs="Tahoma"/>
              </w:rPr>
            </w:pPr>
            <w:r>
              <w:rPr>
                <w:rFonts w:cs="Tahoma" w:ascii="Tahoma" w:hAnsi="Tahoma"/>
              </w:rPr>
              <w:t>100%</w:t>
            </w:r>
          </w:p>
        </w:tc>
      </w:tr>
    </w:tbl>
    <w:p>
      <w:pPr>
        <w:pStyle w:val="Normal"/>
        <w:rPr>
          <w:rFonts w:ascii="Tahoma" w:hAnsi="Tahoma" w:cs="Tahoma"/>
        </w:rPr>
      </w:pPr>
      <w:r>
        <w:rPr>
          <w:rFonts w:cs="Tahoma" w:ascii="Tahoma" w:hAnsi="Tahoma"/>
        </w:rPr>
      </w:r>
    </w:p>
    <w:p>
      <w:pPr>
        <w:pStyle w:val="Normal"/>
        <w:numPr>
          <w:ilvl w:val="0"/>
          <w:numId w:val="13"/>
        </w:numPr>
        <w:rPr>
          <w:rFonts w:ascii="Tahoma" w:hAnsi="Tahoma" w:cs="Tahoma"/>
        </w:rPr>
      </w:pPr>
      <w:r>
        <w:rPr>
          <w:rFonts w:cs="Tahoma" w:ascii="Tahoma" w:hAnsi="Tahoma"/>
        </w:rPr>
        <w:t>Allocation of book basis in EEP (according to the above)</w:t>
      </w:r>
    </w:p>
    <w:p>
      <w:pPr>
        <w:pStyle w:val="Normal"/>
        <w:ind w:firstLine="360" w:end="0"/>
        <w:rPr>
          <w:rFonts w:ascii="Tahoma" w:hAnsi="Tahoma" w:cs="Tahoma"/>
        </w:rPr>
      </w:pPr>
      <w:r>
        <w:rPr>
          <w:rFonts w:cs="Tahoma" w:ascii="Tahoma" w:hAnsi="Tahoma"/>
        </w:rPr>
        <w:t>TPHL share in TPL £87.6m + TPHL’s other assets £51.8 = £139.4m</w:t>
      </w:r>
    </w:p>
    <w:tbl>
      <w:tblPr>
        <w:tblW w:w="8363" w:type="dxa"/>
        <w:jc w:val="start"/>
        <w:tblInd w:w="534" w:type="dxa"/>
        <w:tblLayout w:type="fixed"/>
        <w:tblCellMar>
          <w:top w:w="0" w:type="dxa"/>
          <w:start w:w="108" w:type="dxa"/>
          <w:bottom w:w="0" w:type="dxa"/>
          <w:end w:w="108" w:type="dxa"/>
        </w:tblCellMar>
      </w:tblPr>
      <w:tblGrid>
        <w:gridCol w:w="3260"/>
        <w:gridCol w:w="2693"/>
        <w:gridCol w:w="2410"/>
      </w:tblGrid>
      <w:tr>
        <w:trPr/>
        <w:tc>
          <w:tcPr>
            <w:tcW w:w="3260" w:type="dxa"/>
            <w:tcBorders>
              <w:top w:val="single" w:sz="4" w:space="0" w:color="000000"/>
              <w:start w:val="single" w:sz="4" w:space="0" w:color="000000"/>
              <w:end w:val="single" w:sz="4" w:space="0" w:color="000000"/>
            </w:tcBorders>
          </w:tcPr>
          <w:p>
            <w:pPr>
              <w:pStyle w:val="Normal"/>
              <w:rPr>
                <w:rFonts w:ascii="Tahoma" w:hAnsi="Tahoma" w:cs="Tahoma"/>
              </w:rPr>
            </w:pPr>
            <w:r>
              <w:rPr>
                <w:rFonts w:cs="Tahoma" w:ascii="Tahoma" w:hAnsi="Tahoma"/>
              </w:rPr>
              <w:t>Investment in TPL</w:t>
            </w:r>
          </w:p>
        </w:tc>
        <w:tc>
          <w:tcPr>
            <w:tcW w:w="2693" w:type="dxa"/>
            <w:tcBorders>
              <w:top w:val="single" w:sz="4" w:space="0" w:color="000000"/>
              <w:start w:val="single" w:sz="4" w:space="0" w:color="000000"/>
              <w:end w:val="single" w:sz="4" w:space="0" w:color="000000"/>
            </w:tcBorders>
          </w:tcPr>
          <w:p>
            <w:pPr>
              <w:pStyle w:val="Normal"/>
              <w:jc w:val="end"/>
              <w:rPr>
                <w:rFonts w:ascii="Tahoma" w:hAnsi="Tahoma" w:cs="Tahoma"/>
              </w:rPr>
            </w:pPr>
            <w:r>
              <w:rPr>
                <w:rFonts w:cs="Tahoma" w:ascii="Tahoma" w:hAnsi="Tahoma"/>
              </w:rPr>
              <w:t>77.9%</w:t>
            </w:r>
          </w:p>
        </w:tc>
        <w:tc>
          <w:tcPr>
            <w:tcW w:w="2410" w:type="dxa"/>
            <w:tcBorders>
              <w:top w:val="single" w:sz="4" w:space="0" w:color="000000"/>
              <w:start w:val="single" w:sz="4" w:space="0" w:color="000000"/>
              <w:end w:val="single" w:sz="4" w:space="0" w:color="000000"/>
            </w:tcBorders>
          </w:tcPr>
          <w:p>
            <w:pPr>
              <w:pStyle w:val="Normal"/>
              <w:jc w:val="end"/>
              <w:rPr>
                <w:rFonts w:ascii="Tahoma" w:hAnsi="Tahoma" w:cs="Tahoma"/>
              </w:rPr>
            </w:pPr>
            <w:r>
              <w:rPr>
                <w:rFonts w:cs="Tahoma" w:ascii="Tahoma" w:hAnsi="Tahoma"/>
              </w:rPr>
              <w:t>£108.5m</w:t>
            </w:r>
          </w:p>
        </w:tc>
      </w:tr>
      <w:tr>
        <w:trPr/>
        <w:tc>
          <w:tcPr>
            <w:tcW w:w="3260" w:type="dxa"/>
            <w:tcBorders>
              <w:top w:val="single" w:sz="4" w:space="0" w:color="000000"/>
              <w:start w:val="single" w:sz="4" w:space="0" w:color="000000"/>
              <w:bottom w:val="single" w:sz="12" w:space="0" w:color="000000"/>
              <w:end w:val="single" w:sz="4" w:space="0" w:color="000000"/>
            </w:tcBorders>
          </w:tcPr>
          <w:p>
            <w:pPr>
              <w:pStyle w:val="Normal"/>
              <w:rPr>
                <w:rFonts w:ascii="Tahoma" w:hAnsi="Tahoma" w:cs="Tahoma"/>
              </w:rPr>
            </w:pPr>
            <w:r>
              <w:rPr>
                <w:rFonts w:cs="Tahoma" w:ascii="Tahoma" w:hAnsi="Tahoma"/>
              </w:rPr>
              <w:t>TPHL’s other assets</w:t>
            </w:r>
          </w:p>
        </w:tc>
        <w:tc>
          <w:tcPr>
            <w:tcW w:w="2693" w:type="dxa"/>
            <w:tcBorders>
              <w:top w:val="single" w:sz="4" w:space="0" w:color="000000"/>
              <w:start w:val="single" w:sz="4" w:space="0" w:color="000000"/>
              <w:bottom w:val="single" w:sz="12" w:space="0" w:color="000000"/>
              <w:end w:val="single" w:sz="4" w:space="0" w:color="000000"/>
            </w:tcBorders>
          </w:tcPr>
          <w:p>
            <w:pPr>
              <w:pStyle w:val="Normal"/>
              <w:jc w:val="end"/>
              <w:rPr>
                <w:rFonts w:ascii="Tahoma" w:hAnsi="Tahoma" w:cs="Tahoma"/>
              </w:rPr>
            </w:pPr>
            <w:r>
              <w:rPr>
                <w:rFonts w:cs="Tahoma" w:ascii="Tahoma" w:hAnsi="Tahoma"/>
              </w:rPr>
              <w:t>22.1%</w:t>
            </w:r>
          </w:p>
        </w:tc>
        <w:tc>
          <w:tcPr>
            <w:tcW w:w="2410" w:type="dxa"/>
            <w:tcBorders>
              <w:top w:val="single" w:sz="4" w:space="0" w:color="000000"/>
              <w:start w:val="single" w:sz="4" w:space="0" w:color="000000"/>
              <w:bottom w:val="single" w:sz="12" w:space="0" w:color="000000"/>
              <w:end w:val="single" w:sz="4" w:space="0" w:color="000000"/>
            </w:tcBorders>
          </w:tcPr>
          <w:p>
            <w:pPr>
              <w:pStyle w:val="Normal"/>
              <w:jc w:val="end"/>
              <w:rPr>
                <w:rFonts w:ascii="Tahoma" w:hAnsi="Tahoma" w:cs="Tahoma"/>
              </w:rPr>
            </w:pPr>
            <w:r>
              <w:rPr>
                <w:rFonts w:cs="Tahoma" w:ascii="Tahoma" w:hAnsi="Tahoma"/>
              </w:rPr>
              <w:t>£30.8m</w:t>
            </w:r>
          </w:p>
        </w:tc>
      </w:tr>
      <w:tr>
        <w:trPr/>
        <w:tc>
          <w:tcPr>
            <w:tcW w:w="3260" w:type="dxa"/>
            <w:tcBorders>
              <w:start w:val="single" w:sz="4" w:space="0" w:color="000000"/>
              <w:bottom w:val="single" w:sz="4" w:space="0" w:color="000000"/>
              <w:end w:val="single" w:sz="4" w:space="0" w:color="000000"/>
            </w:tcBorders>
          </w:tcPr>
          <w:p>
            <w:pPr>
              <w:pStyle w:val="Normal"/>
              <w:rPr>
                <w:rFonts w:ascii="Tahoma" w:hAnsi="Tahoma" w:cs="Tahoma"/>
              </w:rPr>
            </w:pPr>
            <w:r>
              <w:rPr>
                <w:rFonts w:cs="Tahoma" w:ascii="Tahoma" w:hAnsi="Tahoma"/>
              </w:rPr>
              <w:t>Total basis in EEP</w:t>
            </w:r>
          </w:p>
        </w:tc>
        <w:tc>
          <w:tcPr>
            <w:tcW w:w="2693" w:type="dxa"/>
            <w:tcBorders>
              <w:start w:val="single" w:sz="4" w:space="0" w:color="000000"/>
              <w:bottom w:val="single" w:sz="4" w:space="0" w:color="000000"/>
              <w:end w:val="single" w:sz="4" w:space="0" w:color="000000"/>
            </w:tcBorders>
          </w:tcPr>
          <w:p>
            <w:pPr>
              <w:pStyle w:val="Normal"/>
              <w:jc w:val="end"/>
              <w:rPr>
                <w:rFonts w:ascii="Tahoma" w:hAnsi="Tahoma" w:cs="Tahoma"/>
              </w:rPr>
            </w:pPr>
            <w:r>
              <w:rPr>
                <w:rFonts w:cs="Tahoma" w:ascii="Tahoma" w:hAnsi="Tahoma"/>
              </w:rPr>
              <w:t>100%</w:t>
            </w:r>
          </w:p>
        </w:tc>
        <w:tc>
          <w:tcPr>
            <w:tcW w:w="2410" w:type="dxa"/>
            <w:tcBorders>
              <w:start w:val="single" w:sz="4" w:space="0" w:color="000000"/>
              <w:bottom w:val="single" w:sz="4" w:space="0" w:color="000000"/>
              <w:end w:val="single" w:sz="4" w:space="0" w:color="000000"/>
            </w:tcBorders>
          </w:tcPr>
          <w:p>
            <w:pPr>
              <w:pStyle w:val="Normal"/>
              <w:jc w:val="end"/>
              <w:rPr>
                <w:rFonts w:ascii="Tahoma" w:hAnsi="Tahoma" w:cs="Tahoma"/>
              </w:rPr>
            </w:pPr>
            <w:r>
              <w:rPr>
                <w:rFonts w:cs="Tahoma" w:ascii="Tahoma" w:hAnsi="Tahoma"/>
              </w:rPr>
              <w:t>£139.4m</w:t>
            </w:r>
          </w:p>
        </w:tc>
      </w:tr>
    </w:tbl>
    <w:p>
      <w:pPr>
        <w:pStyle w:val="Normal"/>
        <w:rPr>
          <w:rFonts w:ascii="Tahoma" w:hAnsi="Tahoma" w:cs="Tahoma"/>
        </w:rPr>
      </w:pPr>
      <w:r>
        <w:rPr>
          <w:rFonts w:cs="Tahoma" w:ascii="Tahoma" w:hAnsi="Tahoma"/>
        </w:rPr>
      </w:r>
    </w:p>
    <w:p>
      <w:pPr>
        <w:pStyle w:val="Normal"/>
        <w:numPr>
          <w:ilvl w:val="0"/>
          <w:numId w:val="13"/>
        </w:numPr>
        <w:rPr>
          <w:rFonts w:ascii="Tahoma" w:hAnsi="Tahoma" w:cs="Tahoma"/>
        </w:rPr>
      </w:pPr>
      <w:r>
        <w:rPr>
          <w:rFonts w:cs="Tahoma" w:ascii="Tahoma" w:hAnsi="Tahoma"/>
        </w:rPr>
        <w:t>Gain Calculation</w:t>
      </w:r>
    </w:p>
    <w:tbl>
      <w:tblPr>
        <w:tblW w:w="8363" w:type="dxa"/>
        <w:jc w:val="start"/>
        <w:tblInd w:w="534" w:type="dxa"/>
        <w:tblLayout w:type="fixed"/>
        <w:tblCellMar>
          <w:top w:w="0" w:type="dxa"/>
          <w:start w:w="108" w:type="dxa"/>
          <w:bottom w:w="0" w:type="dxa"/>
          <w:end w:w="108" w:type="dxa"/>
        </w:tblCellMar>
      </w:tblPr>
      <w:tblGrid>
        <w:gridCol w:w="5953"/>
        <w:gridCol w:w="2410"/>
      </w:tblGrid>
      <w:tr>
        <w:trPr/>
        <w:tc>
          <w:tcPr>
            <w:tcW w:w="5953" w:type="dxa"/>
            <w:tcBorders>
              <w:top w:val="single" w:sz="4" w:space="0" w:color="000000"/>
              <w:start w:val="single" w:sz="4" w:space="0" w:color="000000"/>
              <w:end w:val="single" w:sz="4" w:space="0" w:color="000000"/>
            </w:tcBorders>
          </w:tcPr>
          <w:p>
            <w:pPr>
              <w:pStyle w:val="Normal"/>
              <w:rPr>
                <w:rFonts w:ascii="Tahoma" w:hAnsi="Tahoma" w:cs="Tahoma"/>
              </w:rPr>
            </w:pPr>
            <w:r>
              <w:rPr>
                <w:rFonts w:cs="Tahoma" w:ascii="Tahoma" w:hAnsi="Tahoma"/>
              </w:rPr>
              <w:t>Sale Proceeds</w:t>
            </w:r>
          </w:p>
        </w:tc>
        <w:tc>
          <w:tcPr>
            <w:tcW w:w="2410" w:type="dxa"/>
            <w:tcBorders>
              <w:top w:val="single" w:sz="4" w:space="0" w:color="000000"/>
              <w:start w:val="single" w:sz="4" w:space="0" w:color="000000"/>
              <w:end w:val="single" w:sz="4" w:space="0" w:color="000000"/>
            </w:tcBorders>
          </w:tcPr>
          <w:p>
            <w:pPr>
              <w:pStyle w:val="Normal"/>
              <w:jc w:val="end"/>
              <w:rPr>
                <w:rFonts w:ascii="Tahoma" w:hAnsi="Tahoma" w:cs="Tahoma"/>
              </w:rPr>
            </w:pPr>
            <w:r>
              <w:rPr>
                <w:rFonts w:cs="Tahoma" w:ascii="Tahoma" w:hAnsi="Tahoma"/>
              </w:rPr>
              <w:t>£154m</w:t>
            </w:r>
          </w:p>
        </w:tc>
      </w:tr>
      <w:tr>
        <w:trPr/>
        <w:tc>
          <w:tcPr>
            <w:tcW w:w="5953" w:type="dxa"/>
            <w:tcBorders>
              <w:top w:val="single" w:sz="4" w:space="0" w:color="000000"/>
              <w:start w:val="single" w:sz="4" w:space="0" w:color="000000"/>
              <w:end w:val="single" w:sz="4" w:space="0" w:color="000000"/>
            </w:tcBorders>
          </w:tcPr>
          <w:p>
            <w:pPr>
              <w:pStyle w:val="Normal"/>
              <w:rPr>
                <w:rFonts w:ascii="Tahoma" w:hAnsi="Tahoma" w:cs="Tahoma"/>
              </w:rPr>
            </w:pPr>
            <w:r>
              <w:rPr>
                <w:rFonts w:cs="Tahoma" w:ascii="Tahoma" w:hAnsi="Tahoma"/>
              </w:rPr>
              <w:t>Other EEPHL Assets acquired</w:t>
            </w:r>
          </w:p>
        </w:tc>
        <w:tc>
          <w:tcPr>
            <w:tcW w:w="2410" w:type="dxa"/>
            <w:tcBorders>
              <w:top w:val="single" w:sz="4" w:space="0" w:color="000000"/>
              <w:start w:val="single" w:sz="4" w:space="0" w:color="000000"/>
              <w:end w:val="single" w:sz="4" w:space="0" w:color="000000"/>
            </w:tcBorders>
          </w:tcPr>
          <w:p>
            <w:pPr>
              <w:pStyle w:val="Normal"/>
              <w:jc w:val="end"/>
              <w:rPr>
                <w:rFonts w:ascii="Tahoma" w:hAnsi="Tahoma" w:cs="Tahoma"/>
              </w:rPr>
            </w:pPr>
            <w:r>
              <w:rPr>
                <w:rFonts w:cs="Tahoma" w:ascii="Tahoma" w:hAnsi="Tahoma"/>
              </w:rPr>
              <w:t>£1.9m</w:t>
            </w:r>
          </w:p>
        </w:tc>
      </w:tr>
      <w:tr>
        <w:trPr/>
        <w:tc>
          <w:tcPr>
            <w:tcW w:w="5953" w:type="dxa"/>
            <w:tcBorders>
              <w:top w:val="single" w:sz="4" w:space="0" w:color="000000"/>
              <w:start w:val="single" w:sz="4" w:space="0" w:color="000000"/>
              <w:bottom w:val="single" w:sz="12" w:space="0" w:color="000000"/>
              <w:end w:val="single" w:sz="4" w:space="0" w:color="000000"/>
            </w:tcBorders>
          </w:tcPr>
          <w:p>
            <w:pPr>
              <w:pStyle w:val="Normal"/>
              <w:rPr>
                <w:rFonts w:ascii="Tahoma" w:hAnsi="Tahoma" w:cs="Tahoma"/>
              </w:rPr>
            </w:pPr>
            <w:r>
              <w:rPr>
                <w:rFonts w:cs="Tahoma" w:ascii="Tahoma" w:hAnsi="Tahoma"/>
              </w:rPr>
              <w:t>Less: Basis at EEP level</w:t>
            </w:r>
          </w:p>
        </w:tc>
        <w:tc>
          <w:tcPr>
            <w:tcW w:w="2410" w:type="dxa"/>
            <w:tcBorders>
              <w:top w:val="single" w:sz="4" w:space="0" w:color="000000"/>
              <w:start w:val="single" w:sz="4" w:space="0" w:color="000000"/>
              <w:bottom w:val="single" w:sz="12" w:space="0" w:color="000000"/>
              <w:end w:val="single" w:sz="4" w:space="0" w:color="000000"/>
            </w:tcBorders>
          </w:tcPr>
          <w:p>
            <w:pPr>
              <w:pStyle w:val="Normal"/>
              <w:jc w:val="end"/>
              <w:rPr>
                <w:rFonts w:ascii="Tahoma" w:hAnsi="Tahoma" w:cs="Tahoma"/>
              </w:rPr>
            </w:pPr>
            <w:r>
              <w:rPr>
                <w:rFonts w:cs="Tahoma" w:ascii="Tahoma" w:hAnsi="Tahoma"/>
              </w:rPr>
              <w:t>-£108.5m</w:t>
            </w:r>
          </w:p>
        </w:tc>
      </w:tr>
      <w:tr>
        <w:trPr/>
        <w:tc>
          <w:tcPr>
            <w:tcW w:w="5953" w:type="dxa"/>
            <w:tcBorders>
              <w:start w:val="single" w:sz="4" w:space="0" w:color="000000"/>
              <w:bottom w:val="single" w:sz="4" w:space="0" w:color="000000"/>
              <w:end w:val="single" w:sz="4" w:space="0" w:color="000000"/>
            </w:tcBorders>
          </w:tcPr>
          <w:p>
            <w:pPr>
              <w:pStyle w:val="Normal"/>
              <w:rPr>
                <w:rFonts w:ascii="Tahoma" w:hAnsi="Tahoma" w:cs="Tahoma"/>
              </w:rPr>
            </w:pPr>
            <w:r>
              <w:rPr>
                <w:rFonts w:cs="Tahoma" w:ascii="Tahoma" w:hAnsi="Tahoma"/>
              </w:rPr>
              <w:t>Gross Gain on Sale</w:t>
            </w:r>
          </w:p>
        </w:tc>
        <w:tc>
          <w:tcPr>
            <w:tcW w:w="2410" w:type="dxa"/>
            <w:tcBorders>
              <w:start w:val="single" w:sz="4" w:space="0" w:color="000000"/>
              <w:bottom w:val="single" w:sz="4" w:space="0" w:color="000000"/>
              <w:end w:val="single" w:sz="4" w:space="0" w:color="000000"/>
            </w:tcBorders>
          </w:tcPr>
          <w:p>
            <w:pPr>
              <w:pStyle w:val="Normal"/>
              <w:jc w:val="end"/>
              <w:rPr>
                <w:rFonts w:ascii="Tahoma" w:hAnsi="Tahoma" w:cs="Tahoma"/>
              </w:rPr>
            </w:pPr>
            <w:r>
              <w:rPr>
                <w:rFonts w:cs="Tahoma" w:ascii="Tahoma" w:hAnsi="Tahoma"/>
              </w:rPr>
              <w:t>£47.4m</w:t>
            </w:r>
          </w:p>
        </w:tc>
      </w:tr>
      <w:tr>
        <w:trPr/>
        <w:tc>
          <w:tcPr>
            <w:tcW w:w="5953" w:type="dxa"/>
            <w:tcBorders>
              <w:top w:val="single" w:sz="4" w:space="0" w:color="000000"/>
              <w:start w:val="single" w:sz="4" w:space="0" w:color="000000"/>
              <w:end w:val="single" w:sz="4" w:space="0" w:color="000000"/>
            </w:tcBorders>
          </w:tcPr>
          <w:p>
            <w:pPr>
              <w:pStyle w:val="Normal"/>
              <w:rPr>
                <w:rFonts w:ascii="Tahoma" w:hAnsi="Tahoma" w:cs="Tahoma"/>
              </w:rPr>
            </w:pPr>
            <w:r>
              <w:rPr>
                <w:rFonts w:cs="Tahoma" w:ascii="Tahoma" w:hAnsi="Tahoma"/>
              </w:rPr>
              <w:t>Less: Guarantee/legal costs</w:t>
            </w:r>
          </w:p>
        </w:tc>
        <w:tc>
          <w:tcPr>
            <w:tcW w:w="2410" w:type="dxa"/>
            <w:tcBorders>
              <w:top w:val="single" w:sz="4" w:space="0" w:color="000000"/>
              <w:start w:val="single" w:sz="4" w:space="0" w:color="000000"/>
              <w:end w:val="single" w:sz="4" w:space="0" w:color="000000"/>
            </w:tcBorders>
          </w:tcPr>
          <w:p>
            <w:pPr>
              <w:pStyle w:val="Normal"/>
              <w:jc w:val="end"/>
              <w:rPr>
                <w:rFonts w:ascii="Tahoma" w:hAnsi="Tahoma" w:cs="Tahoma"/>
              </w:rPr>
            </w:pPr>
            <w:r>
              <w:rPr>
                <w:rFonts w:cs="Tahoma" w:ascii="Tahoma" w:hAnsi="Tahoma"/>
              </w:rPr>
              <w:t>-£3.5m</w:t>
            </w:r>
          </w:p>
        </w:tc>
      </w:tr>
      <w:tr>
        <w:trPr/>
        <w:tc>
          <w:tcPr>
            <w:tcW w:w="5953" w:type="dxa"/>
            <w:tcBorders>
              <w:top w:val="single" w:sz="4" w:space="0" w:color="000000"/>
              <w:start w:val="single" w:sz="4" w:space="0" w:color="000000"/>
              <w:bottom w:val="single" w:sz="12" w:space="0" w:color="000000"/>
              <w:end w:val="single" w:sz="4" w:space="0" w:color="000000"/>
            </w:tcBorders>
          </w:tcPr>
          <w:p>
            <w:pPr>
              <w:pStyle w:val="Normal"/>
              <w:rPr>
                <w:rFonts w:ascii="Tahoma" w:hAnsi="Tahoma" w:cs="Tahoma"/>
              </w:rPr>
            </w:pPr>
            <w:r>
              <w:rPr>
                <w:rFonts w:cs="Tahoma" w:ascii="Tahoma" w:hAnsi="Tahoma"/>
              </w:rPr>
              <w:t>Less: TRS termination costs</w:t>
            </w:r>
          </w:p>
        </w:tc>
        <w:tc>
          <w:tcPr>
            <w:tcW w:w="2410" w:type="dxa"/>
            <w:tcBorders>
              <w:top w:val="single" w:sz="4" w:space="0" w:color="000000"/>
              <w:start w:val="single" w:sz="4" w:space="0" w:color="000000"/>
              <w:bottom w:val="single" w:sz="12" w:space="0" w:color="000000"/>
              <w:end w:val="single" w:sz="4" w:space="0" w:color="000000"/>
            </w:tcBorders>
          </w:tcPr>
          <w:p>
            <w:pPr>
              <w:pStyle w:val="Normal"/>
              <w:jc w:val="end"/>
              <w:rPr>
                <w:rFonts w:ascii="Tahoma" w:hAnsi="Tahoma" w:cs="Tahoma"/>
              </w:rPr>
            </w:pPr>
            <w:r>
              <w:rPr>
                <w:rFonts w:cs="Tahoma" w:ascii="Tahoma" w:hAnsi="Tahoma"/>
              </w:rPr>
              <w:t>-£9.2m</w:t>
            </w:r>
          </w:p>
        </w:tc>
      </w:tr>
      <w:tr>
        <w:trPr/>
        <w:tc>
          <w:tcPr>
            <w:tcW w:w="5953" w:type="dxa"/>
            <w:tcBorders>
              <w:start w:val="single" w:sz="4" w:space="0" w:color="000000"/>
              <w:bottom w:val="single" w:sz="4" w:space="0" w:color="000000"/>
              <w:end w:val="single" w:sz="4" w:space="0" w:color="000000"/>
            </w:tcBorders>
          </w:tcPr>
          <w:p>
            <w:pPr>
              <w:pStyle w:val="Normal"/>
              <w:rPr>
                <w:rFonts w:ascii="Tahoma" w:hAnsi="Tahoma" w:cs="Tahoma"/>
              </w:rPr>
            </w:pPr>
            <w:r>
              <w:rPr>
                <w:rFonts w:cs="Tahoma" w:ascii="Tahoma" w:hAnsi="Tahoma"/>
              </w:rPr>
              <w:t>Net Gain</w:t>
            </w:r>
          </w:p>
        </w:tc>
        <w:tc>
          <w:tcPr>
            <w:tcW w:w="2410" w:type="dxa"/>
            <w:tcBorders>
              <w:start w:val="single" w:sz="4" w:space="0" w:color="000000"/>
              <w:bottom w:val="single" w:sz="4" w:space="0" w:color="000000"/>
              <w:end w:val="single" w:sz="4" w:space="0" w:color="000000"/>
            </w:tcBorders>
          </w:tcPr>
          <w:p>
            <w:pPr>
              <w:pStyle w:val="Normal"/>
              <w:jc w:val="end"/>
              <w:rPr>
                <w:rFonts w:ascii="Tahoma" w:hAnsi="Tahoma" w:cs="Tahoma"/>
              </w:rPr>
            </w:pPr>
            <w:r>
              <w:rPr>
                <w:rFonts w:cs="Tahoma" w:ascii="Tahoma" w:hAnsi="Tahoma"/>
              </w:rPr>
              <w:t>£34.6m</w:t>
            </w:r>
          </w:p>
        </w:tc>
      </w:tr>
      <w:tr>
        <w:trPr/>
        <w:tc>
          <w:tcPr>
            <w:tcW w:w="5953" w:type="dxa"/>
            <w:tcBorders>
              <w:top w:val="single" w:sz="4" w:space="0" w:color="000000"/>
              <w:start w:val="single" w:sz="4" w:space="0" w:color="000000"/>
              <w:bottom w:val="single" w:sz="12" w:space="0" w:color="000000"/>
              <w:end w:val="single" w:sz="4" w:space="0" w:color="000000"/>
            </w:tcBorders>
          </w:tcPr>
          <w:p>
            <w:pPr>
              <w:pStyle w:val="Normal"/>
              <w:rPr>
                <w:rFonts w:ascii="Tahoma" w:hAnsi="Tahoma" w:cs="Tahoma"/>
              </w:rPr>
            </w:pPr>
            <w:r>
              <w:rPr>
                <w:rFonts w:cs="Tahoma" w:ascii="Tahoma" w:hAnsi="Tahoma"/>
              </w:rPr>
              <w:t>Less: Tax</w:t>
            </w:r>
          </w:p>
        </w:tc>
        <w:tc>
          <w:tcPr>
            <w:tcW w:w="2410" w:type="dxa"/>
            <w:tcBorders>
              <w:top w:val="single" w:sz="4" w:space="0" w:color="000000"/>
              <w:start w:val="single" w:sz="4" w:space="0" w:color="000000"/>
              <w:bottom w:val="single" w:sz="12" w:space="0" w:color="000000"/>
              <w:end w:val="single" w:sz="4" w:space="0" w:color="000000"/>
            </w:tcBorders>
          </w:tcPr>
          <w:p>
            <w:pPr>
              <w:pStyle w:val="Normal"/>
              <w:jc w:val="end"/>
              <w:rPr>
                <w:rFonts w:ascii="Tahoma" w:hAnsi="Tahoma" w:cs="Tahoma"/>
              </w:rPr>
            </w:pPr>
            <w:r>
              <w:rPr>
                <w:rFonts w:cs="Tahoma" w:ascii="Tahoma" w:hAnsi="Tahoma"/>
              </w:rPr>
              <w:t>-£12.1m</w:t>
            </w:r>
          </w:p>
        </w:tc>
      </w:tr>
      <w:tr>
        <w:trPr/>
        <w:tc>
          <w:tcPr>
            <w:tcW w:w="5953" w:type="dxa"/>
            <w:tcBorders>
              <w:start w:val="single" w:sz="4" w:space="0" w:color="000000"/>
              <w:bottom w:val="single" w:sz="4" w:space="0" w:color="000000"/>
              <w:end w:val="single" w:sz="4" w:space="0" w:color="000000"/>
            </w:tcBorders>
          </w:tcPr>
          <w:p>
            <w:pPr>
              <w:pStyle w:val="Normal"/>
              <w:rPr>
                <w:rFonts w:ascii="Tahoma" w:hAnsi="Tahoma" w:cs="Tahoma"/>
              </w:rPr>
            </w:pPr>
            <w:r>
              <w:rPr>
                <w:rFonts w:cs="Tahoma" w:ascii="Tahoma" w:hAnsi="Tahoma"/>
              </w:rPr>
              <w:t>Post Tax Gain (£)</w:t>
            </w:r>
          </w:p>
        </w:tc>
        <w:tc>
          <w:tcPr>
            <w:tcW w:w="2410" w:type="dxa"/>
            <w:tcBorders>
              <w:start w:val="single" w:sz="4" w:space="0" w:color="000000"/>
              <w:bottom w:val="single" w:sz="4" w:space="0" w:color="000000"/>
              <w:end w:val="single" w:sz="4" w:space="0" w:color="000000"/>
            </w:tcBorders>
          </w:tcPr>
          <w:p>
            <w:pPr>
              <w:pStyle w:val="Normal"/>
              <w:jc w:val="end"/>
              <w:rPr>
                <w:rFonts w:ascii="Tahoma" w:hAnsi="Tahoma" w:cs="Tahoma"/>
              </w:rPr>
            </w:pPr>
            <w:r>
              <w:rPr>
                <w:rFonts w:cs="Tahoma" w:ascii="Tahoma" w:hAnsi="Tahoma"/>
              </w:rPr>
              <w:t>£22.5m</w:t>
            </w:r>
          </w:p>
        </w:tc>
      </w:tr>
      <w:tr>
        <w:trPr/>
        <w:tc>
          <w:tcPr>
            <w:tcW w:w="5953" w:type="dxa"/>
            <w:tcBorders>
              <w:top w:val="single" w:sz="4" w:space="0" w:color="000000"/>
              <w:start w:val="single" w:sz="4" w:space="0" w:color="000000"/>
              <w:bottom w:val="single" w:sz="4" w:space="0" w:color="000000"/>
              <w:end w:val="single" w:sz="4" w:space="0" w:color="000000"/>
            </w:tcBorders>
          </w:tcPr>
          <w:p>
            <w:pPr>
              <w:pStyle w:val="Normal"/>
              <w:rPr>
                <w:rFonts w:ascii="Tahoma" w:hAnsi="Tahoma" w:cs="Tahoma"/>
              </w:rPr>
            </w:pPr>
            <w:r>
              <w:rPr>
                <w:rFonts w:cs="Tahoma" w:ascii="Tahoma" w:hAnsi="Tahoma"/>
              </w:rPr>
              <w:t>Post Tax Gain ($)</w:t>
            </w:r>
          </w:p>
        </w:tc>
        <w:tc>
          <w:tcPr>
            <w:tcW w:w="2410" w:type="dxa"/>
            <w:tcBorders>
              <w:top w:val="single" w:sz="4" w:space="0" w:color="000000"/>
              <w:start w:val="single" w:sz="4" w:space="0" w:color="000000"/>
              <w:bottom w:val="single" w:sz="4" w:space="0" w:color="000000"/>
              <w:end w:val="single" w:sz="4" w:space="0" w:color="000000"/>
            </w:tcBorders>
          </w:tcPr>
          <w:p>
            <w:pPr>
              <w:pStyle w:val="Normal"/>
              <w:jc w:val="end"/>
              <w:rPr>
                <w:rFonts w:ascii="Tahoma" w:hAnsi="Tahoma" w:cs="Tahoma"/>
              </w:rPr>
            </w:pPr>
            <w:r>
              <w:rPr>
                <w:rFonts w:cs="Tahoma" w:ascii="Tahoma" w:hAnsi="Tahoma"/>
              </w:rPr>
              <w:t>$37.5m</w:t>
            </w:r>
          </w:p>
        </w:tc>
      </w:tr>
    </w:tbl>
    <w:p>
      <w:pPr>
        <w:pStyle w:val="Normal"/>
        <w:rPr/>
      </w:pPr>
      <w:r>
        <w:rPr/>
        <w:tab/>
        <w:tab/>
        <w:tab/>
        <w:tab/>
        <w:tab/>
        <w:tab/>
        <w:tab/>
        <w:tab/>
        <w:tab/>
        <w:tab/>
      </w:r>
    </w:p>
    <w:p>
      <w:pPr>
        <w:pStyle w:val="Heading1"/>
        <w:ind w:hanging="0" w:start="0"/>
        <w:rPr/>
      </w:pPr>
      <w:r>
        <w:rPr/>
        <w:t>Share Descriptions</w:t>
      </w:r>
    </w:p>
    <w:p>
      <w:pPr>
        <w:pStyle w:val="Normal"/>
        <w:rPr>
          <w:rFonts w:ascii="Tahoma" w:hAnsi="Tahoma" w:cs="Tahoma"/>
        </w:rPr>
      </w:pPr>
      <w:r>
        <w:rPr>
          <w:rFonts w:cs="Tahoma" w:ascii="Tahoma" w:hAnsi="Tahoma"/>
        </w:rPr>
      </w:r>
    </w:p>
    <w:tbl>
      <w:tblPr>
        <w:tblW w:w="8897" w:type="dxa"/>
        <w:jc w:val="start"/>
        <w:tblInd w:w="0" w:type="dxa"/>
        <w:tblLayout w:type="fixed"/>
        <w:tblCellMar>
          <w:top w:w="0" w:type="dxa"/>
          <w:start w:w="108" w:type="dxa"/>
          <w:bottom w:w="0" w:type="dxa"/>
          <w:end w:w="108" w:type="dxa"/>
        </w:tblCellMar>
      </w:tblPr>
      <w:tblGrid>
        <w:gridCol w:w="1242"/>
        <w:gridCol w:w="7655"/>
      </w:tblGrid>
      <w:tr>
        <w:trPr/>
        <w:tc>
          <w:tcPr>
            <w:tcW w:w="1242" w:type="dxa"/>
            <w:tcBorders/>
          </w:tcPr>
          <w:p>
            <w:pPr>
              <w:pStyle w:val="Normal"/>
              <w:rPr>
                <w:rFonts w:ascii="Tahoma" w:hAnsi="Tahoma" w:cs="Tahoma"/>
                <w:lang w:val="en-AU" w:eastAsia="en-US"/>
              </w:rPr>
            </w:pPr>
            <w:r>
              <w:rPr>
                <w:rFonts w:cs="Tahoma" w:ascii="Tahoma" w:hAnsi="Tahoma"/>
                <w:lang w:val="en-AU" w:eastAsia="en-US"/>
              </w:rPr>
              <w:t>A Shares</w:t>
            </w:r>
          </w:p>
        </w:tc>
        <w:tc>
          <w:tcPr>
            <w:tcW w:w="7655" w:type="dxa"/>
            <w:tcBorders/>
          </w:tcPr>
          <w:p>
            <w:pPr>
              <w:pStyle w:val="Normal"/>
              <w:rPr>
                <w:rFonts w:ascii="Tahoma" w:hAnsi="Tahoma" w:cs="Tahoma"/>
                <w:lang w:val="en-AU" w:eastAsia="en-US"/>
              </w:rPr>
            </w:pPr>
            <w:r>
              <w:rPr>
                <w:rFonts w:cs="Tahoma" w:ascii="Tahoma" w:hAnsi="Tahoma"/>
                <w:lang w:val="en-AU" w:eastAsia="en-US"/>
              </w:rPr>
              <w:t>Represent 100% value of the TPL’s CTA period (2000-2008)</w:t>
            </w:r>
          </w:p>
        </w:tc>
      </w:tr>
      <w:tr>
        <w:trPr/>
        <w:tc>
          <w:tcPr>
            <w:tcW w:w="1242" w:type="dxa"/>
            <w:tcBorders/>
          </w:tcPr>
          <w:p>
            <w:pPr>
              <w:pStyle w:val="Normal"/>
              <w:rPr>
                <w:rFonts w:ascii="Tahoma" w:hAnsi="Tahoma" w:cs="Tahoma"/>
                <w:lang w:val="en-AU" w:eastAsia="en-US"/>
              </w:rPr>
            </w:pPr>
            <w:r>
              <w:rPr>
                <w:rFonts w:cs="Tahoma" w:ascii="Tahoma" w:hAnsi="Tahoma"/>
                <w:lang w:val="en-AU" w:eastAsia="en-US"/>
              </w:rPr>
              <w:t>B shares</w:t>
            </w:r>
          </w:p>
        </w:tc>
        <w:tc>
          <w:tcPr>
            <w:tcW w:w="7655" w:type="dxa"/>
            <w:tcBorders/>
          </w:tcPr>
          <w:p>
            <w:pPr>
              <w:pStyle w:val="Normal"/>
              <w:rPr>
                <w:rFonts w:ascii="Tahoma" w:hAnsi="Tahoma" w:cs="Tahoma"/>
                <w:lang w:val="en-AU" w:eastAsia="en-US"/>
              </w:rPr>
            </w:pPr>
            <w:r>
              <w:rPr>
                <w:rFonts w:cs="Tahoma" w:ascii="Tahoma" w:hAnsi="Tahoma"/>
                <w:lang w:val="en-AU" w:eastAsia="en-US"/>
              </w:rPr>
              <w:t>Represent 100% value of the TPL’s CTA period (2000-2008)</w:t>
            </w:r>
          </w:p>
        </w:tc>
      </w:tr>
      <w:tr>
        <w:trPr/>
        <w:tc>
          <w:tcPr>
            <w:tcW w:w="1242" w:type="dxa"/>
            <w:tcBorders/>
          </w:tcPr>
          <w:p>
            <w:pPr>
              <w:pStyle w:val="Normal"/>
              <w:rPr>
                <w:rFonts w:ascii="Tahoma" w:hAnsi="Tahoma" w:cs="Tahoma"/>
                <w:lang w:val="en-AU" w:eastAsia="en-US"/>
              </w:rPr>
            </w:pPr>
            <w:r>
              <w:rPr>
                <w:rFonts w:cs="Tahoma" w:ascii="Tahoma" w:hAnsi="Tahoma"/>
                <w:lang w:val="en-AU" w:eastAsia="en-US"/>
              </w:rPr>
              <w:t>Pref Shares</w:t>
            </w:r>
          </w:p>
        </w:tc>
        <w:tc>
          <w:tcPr>
            <w:tcW w:w="7655" w:type="dxa"/>
            <w:tcBorders/>
          </w:tcPr>
          <w:p>
            <w:pPr>
              <w:pStyle w:val="Normal"/>
              <w:rPr>
                <w:rFonts w:ascii="Tahoma" w:hAnsi="Tahoma" w:cs="Tahoma"/>
                <w:lang w:val="en-AU" w:eastAsia="en-US"/>
              </w:rPr>
            </w:pPr>
            <w:r>
              <w:rPr>
                <w:rFonts w:cs="Tahoma" w:ascii="Tahoma" w:hAnsi="Tahoma"/>
                <w:lang w:val="en-AU" w:eastAsia="en-US"/>
              </w:rPr>
              <w:t>Represent 100% value of the TPL’s post CTA period (2008-2012)</w:t>
            </w:r>
          </w:p>
        </w:tc>
      </w:tr>
    </w:tbl>
    <w:p>
      <w:pPr>
        <w:pStyle w:val="Heading1"/>
        <w:ind w:hanging="0" w:start="0"/>
        <w:rPr/>
      </w:pPr>
      <w:r>
        <w:rPr/>
      </w:r>
    </w:p>
    <w:p>
      <w:pPr>
        <w:pStyle w:val="Heading1"/>
        <w:ind w:hanging="0" w:start="0"/>
        <w:rPr/>
      </w:pPr>
      <w:r>
        <w:rPr/>
        <w:t>Subsequent Events</w:t>
        <w:tab/>
        <w:tab/>
        <w:tab/>
        <w:tab/>
        <w:tab/>
        <w:tab/>
        <w:tab/>
        <w:tab/>
        <w:tab/>
        <w:tab/>
      </w:r>
    </w:p>
    <w:p>
      <w:pPr>
        <w:pStyle w:val="Normal"/>
        <w:numPr>
          <w:ilvl w:val="0"/>
          <w:numId w:val="16"/>
        </w:numPr>
        <w:rPr>
          <w:rFonts w:ascii="Tahoma" w:hAnsi="Tahoma" w:cs="Tahoma"/>
        </w:rPr>
      </w:pPr>
      <w:r>
        <w:rPr>
          <w:rFonts w:cs="Tahoma" w:ascii="Tahoma" w:hAnsi="Tahoma"/>
        </w:rPr>
        <w:t>EEP will loan out the £154m sales proceeds plus its existing cash to EEL.</w:t>
        <w:tab/>
        <w:tab/>
        <w:tab/>
        <w:tab/>
      </w:r>
    </w:p>
    <w:p>
      <w:pPr>
        <w:pStyle w:val="Normal"/>
        <w:numPr>
          <w:ilvl w:val="0"/>
          <w:numId w:val="16"/>
        </w:numPr>
        <w:rPr>
          <w:rFonts w:ascii="Tahoma" w:hAnsi="Tahoma" w:cs="Tahoma"/>
        </w:rPr>
      </w:pPr>
      <w:r>
        <w:rPr>
          <w:rFonts w:cs="Tahoma" w:ascii="Tahoma" w:hAnsi="Tahoma"/>
        </w:rPr>
        <w:t xml:space="preserve">Before 4th July 1998, EEP will declare and pay a dividend to EEPH </w:t>
        <w:tab/>
        <w:tab/>
      </w:r>
    </w:p>
    <w:p>
      <w:pPr>
        <w:pStyle w:val="Normal"/>
        <w:numPr>
          <w:ilvl w:val="0"/>
          <w:numId w:val="9"/>
        </w:numPr>
        <w:rPr>
          <w:rFonts w:ascii="Tahoma" w:hAnsi="Tahoma" w:cs="Tahoma"/>
        </w:rPr>
      </w:pPr>
      <w:r>
        <w:rPr>
          <w:rFonts w:cs="Tahoma" w:ascii="Tahoma" w:hAnsi="Tahoma"/>
        </w:rPr>
        <w:t>Consideration will be given to liquidate EEPH.</w:t>
        <w:tab/>
        <w:tab/>
        <w:tab/>
        <w:tab/>
        <w:tab/>
        <w:tab/>
        <w:tab/>
        <w:tab/>
        <w:tab/>
        <w:tab/>
      </w:r>
    </w:p>
    <w:p>
      <w:pPr>
        <w:pStyle w:val="Normal"/>
        <w:rPr>
          <w:rFonts w:ascii="Tahoma" w:hAnsi="Tahoma" w:cs="Tahoma"/>
        </w:rPr>
      </w:pPr>
      <w:r>
        <w:rPr>
          <w:rFonts w:cs="Tahoma" w:ascii="Tahoma" w:hAnsi="Tahoma"/>
        </w:rPr>
        <w:tab/>
      </w:r>
    </w:p>
    <w:p>
      <w:pPr>
        <w:pStyle w:val="Normal"/>
        <w:rPr>
          <w:rFonts w:ascii="Tahoma" w:hAnsi="Tahoma" w:cs="Tahoma"/>
        </w:rPr>
      </w:pPr>
      <w:r>
        <w:rPr>
          <w:rFonts w:cs="Tahoma" w:ascii="Tahoma" w:hAnsi="Tahoma"/>
        </w:rPr>
        <w:tab/>
        <w:tab/>
        <w:tab/>
        <w:tab/>
        <w:tab/>
        <w:tab/>
        <w:tab/>
        <w:tab/>
        <w:tab/>
        <w:tab/>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p>
      <w:pPr>
        <w:pStyle w:val="Normal"/>
        <w:rPr>
          <w:rFonts w:ascii="Tahoma" w:hAnsi="Tahoma" w:cs="Tahoma"/>
        </w:rPr>
      </w:pPr>
      <w:r>
        <w:rPr>
          <w:rFonts w:cs="Tahoma" w:ascii="Tahoma" w:hAnsi="Tahoma"/>
        </w:rPr>
      </w:r>
    </w:p>
    <w:sectPr>
      <w:footerReference w:type="default" r:id="rId3"/>
      <w:type w:val="nextPage"/>
      <w:pgSz w:w="11906" w:h="16838"/>
      <w:pgMar w:left="1304" w:right="1304" w:gutter="0" w:header="0" w:top="1191" w:footer="720" w:bottom="136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641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59.8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decimal"/>
      <w:lvlText w:val="%1."/>
      <w:lvlJc w:val="start"/>
      <w:pPr>
        <w:tabs>
          <w:tab w:val="num" w:pos="720"/>
        </w:tabs>
        <w:ind w:start="720" w:hanging="360"/>
      </w:pPr>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decimal"/>
      <w:lvlText w:val="%1."/>
      <w:lvlJc w:val="start"/>
      <w:pPr>
        <w:tabs>
          <w:tab w:val="num" w:pos="360"/>
        </w:tabs>
        <w:ind w:start="360" w:hanging="360"/>
      </w:p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outlineLvl w:val="0"/>
    </w:pPr>
    <w:rPr>
      <w:rFonts w:ascii="Tahoma" w:hAnsi="Tahoma" w:cs="Tahoma"/>
      <w:b/>
    </w:rPr>
  </w:style>
  <w:style w:type="paragraph" w:styleId="Heading2">
    <w:name w:val="heading 2"/>
    <w:basedOn w:val="Normal"/>
    <w:next w:val="Normal"/>
    <w:qFormat/>
    <w:pPr>
      <w:keepNext w:val="true"/>
      <w:numPr>
        <w:ilvl w:val="1"/>
        <w:numId w:val="1"/>
      </w:numPr>
      <w:outlineLvl w:val="1"/>
    </w:pPr>
    <w:rPr>
      <w:rFonts w:ascii="Tahoma" w:hAnsi="Tahoma" w:cs="Tahoma"/>
      <w:i/>
    </w:rPr>
  </w:style>
  <w:style w:type="paragraph" w:styleId="Heading3">
    <w:name w:val="heading 3"/>
    <w:basedOn w:val="Normal"/>
    <w:next w:val="Normal"/>
    <w:qFormat/>
    <w:pPr>
      <w:keepNext w:val="true"/>
      <w:numPr>
        <w:ilvl w:val="2"/>
        <w:numId w:val="1"/>
      </w:numPr>
      <w:outlineLvl w:val="2"/>
    </w:pPr>
    <w:rPr>
      <w:rFonts w:ascii="Tahoma" w:hAnsi="Tahoma" w:cs="Tahoma"/>
      <w:i/>
      <w:u w:val="single"/>
    </w:rPr>
  </w:style>
  <w:style w:type="paragraph" w:styleId="Heading4">
    <w:name w:val="heading 4"/>
    <w:basedOn w:val="Normal"/>
    <w:next w:val="Normal"/>
    <w:qFormat/>
    <w:pPr>
      <w:keepNext w:val="true"/>
      <w:numPr>
        <w:ilvl w:val="3"/>
        <w:numId w:val="1"/>
      </w:numPr>
      <w:outlineLvl w:val="3"/>
    </w:pPr>
    <w:rPr>
      <w:rFonts w:ascii="Tahoma" w:hAnsi="Tahoma" w:cs="Tahoma"/>
      <w:u w:val="single"/>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5z0">
    <w:name w:val="WW8Num15z0"/>
    <w:qFormat/>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style>
  <w:style w:type="character" w:styleId="WW8Num28z0">
    <w:name w:val="WW8Num28z0"/>
    <w:qFormat/>
    <w:rPr>
      <w:rFonts w:ascii="Symbol" w:hAnsi="Symbol" w:cs="Symbol"/>
    </w:rPr>
  </w:style>
  <w:style w:type="character" w:styleId="WW8Num29z0">
    <w:name w:val="WW8Num29z0"/>
    <w:qFormat/>
    <w:rPr/>
  </w:style>
  <w:style w:type="character" w:styleId="WW8Num30z0">
    <w:name w:val="WW8Num30z0"/>
    <w:qFormat/>
    <w:rPr/>
  </w:style>
  <w:style w:type="character" w:styleId="WW8Num32z0">
    <w:name w:val="WW8Num32z0"/>
    <w:qFormat/>
    <w:rPr>
      <w:rFonts w:ascii="Symbol" w:hAnsi="Symbol" w:cs="Symbol"/>
    </w:rPr>
  </w:style>
  <w:style w:type="character" w:styleId="WW8Num33z0">
    <w:name w:val="WW8Num33z0"/>
    <w:qFormat/>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style>
  <w:style w:type="character" w:styleId="WW8Num37z0">
    <w:name w:val="WW8Num37z0"/>
    <w:qFormat/>
    <w:rPr>
      <w:rFonts w:ascii="Symbol" w:hAnsi="Symbol" w:cs="Symbol"/>
    </w:rPr>
  </w:style>
  <w:style w:type="character" w:styleId="WW8Num38z0">
    <w:name w:val="WW8Num38z0"/>
    <w:qFormat/>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Tahoma" w:hAnsi="Tahoma" w:cs="Tahoma"/>
      <w:b/>
      <w:sz w:val="36"/>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360" w:leader="none"/>
      </w:tabs>
      <w:ind w:hanging="0" w:start="360" w:end="0"/>
    </w:pPr>
    <w:rPr>
      <w:rFonts w:ascii="Tahoma" w:hAnsi="Tahoma" w:cs="Tahoma"/>
      <w:color w:val="FF000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153" w:leader="none"/>
        <w:tab w:val="right" w:pos="8306"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2000-02-22T08:09:00Z</dcterms:created>
  <dc:creator>ZStrmeno</dc:creator>
  <dc:description/>
  <dc:language>en-CA</dc:language>
  <cp:lastModifiedBy>ZStrmeno</cp:lastModifiedBy>
  <cp:lastPrinted>2000-03-01T17:30:00Z</cp:lastPrinted>
  <dcterms:modified xsi:type="dcterms:W3CDTF">2000-03-01T22:32:00Z</dcterms:modified>
  <cp:revision>19</cp:revision>
  <dc:subject/>
  <dc:title>Riverside III</dc:title>
</cp:coreProperties>
</file>