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val="false"/>
          <w:sz w:val="32"/>
        </w:rPr>
      </w:pPr>
      <w:r>
        <w:rPr>
          <w:sz w:val="32"/>
        </w:rPr>
        <w:t>Riverside II</w:t>
      </w:r>
    </w:p>
    <w:p>
      <w:pPr>
        <w:pStyle w:val="Heading1"/>
        <w:ind w:hanging="0" w:start="0"/>
        <w:jc w:val="center"/>
        <w:rPr>
          <w:sz w:val="28"/>
        </w:rPr>
      </w:pPr>
      <w:r>
        <w:rPr>
          <w:b w:val="false"/>
          <w:sz w:val="28"/>
        </w:rPr>
        <w:t>September 30,1997</w:t>
      </w:r>
    </w:p>
    <w:p>
      <w:pPr>
        <w:pStyle w:val="Heading1"/>
        <w:ind w:hanging="0" w:start="0"/>
        <w:rPr>
          <w:b w:val="false"/>
          <w:sz w:val="32"/>
          <w:lang w:val="en-CA"/>
        </w:rPr>
      </w:pPr>
      <w:r>
        <w:rPr>
          <w:b w:val="false"/>
          <w:sz w:val="32"/>
          <w:lang w:val="en-CA"/>
        </w:rPr>
        <w:drawing>
          <wp:anchor behindDoc="0" distT="0" distB="0" distL="114935" distR="114935" simplePos="0" locked="0" layoutInCell="1" allowOverlap="1" relativeHeight="5">
            <wp:simplePos x="0" y="0"/>
            <wp:positionH relativeFrom="column">
              <wp:posOffset>69850</wp:posOffset>
            </wp:positionH>
            <wp:positionV relativeFrom="paragraph">
              <wp:posOffset>118745</wp:posOffset>
            </wp:positionV>
            <wp:extent cx="5486400" cy="360934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6400" cy="3609340"/>
                    </a:xfrm>
                    <a:prstGeom prst="rect">
                      <a:avLst/>
                    </a:prstGeom>
                    <a:noFill/>
                  </pic:spPr>
                </pic:pic>
              </a:graphicData>
            </a:graphic>
          </wp:anchor>
        </w:drawing>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jc w:val="end"/>
        <w:rPr>
          <w:sz w:val="16"/>
        </w:rPr>
      </w:pPr>
      <w:r>
        <w:rPr>
          <w:sz w:val="16"/>
        </w:rPr>
      </w:r>
    </w:p>
    <w:p>
      <w:pPr>
        <w:pStyle w:val="Heading1"/>
        <w:ind w:hanging="0" w:start="0"/>
        <w:jc w:val="end"/>
        <w:rPr>
          <w:sz w:val="16"/>
        </w:rPr>
      </w:pPr>
      <w:r>
        <w:rPr>
          <w:sz w:val="16"/>
        </w:rPr>
      </w:r>
    </w:p>
    <w:p>
      <w:pPr>
        <w:pStyle w:val="Heading1"/>
        <w:ind w:hanging="0" w:start="0"/>
        <w:jc w:val="end"/>
        <w:rPr>
          <w:sz w:val="16"/>
        </w:rPr>
      </w:pPr>
      <w:r>
        <w:rPr>
          <w:sz w:val="16"/>
        </w:rPr>
        <w:t>Company Names:</w:t>
      </w:r>
    </w:p>
    <w:p>
      <w:pPr>
        <w:pStyle w:val="Normal"/>
        <w:jc w:val="end"/>
        <w:rPr/>
      </w:pPr>
      <w:r>
        <w:rPr>
          <w:rFonts w:cs="Tahoma" w:ascii="Tahoma" w:hAnsi="Tahoma"/>
          <w:b/>
          <w:sz w:val="16"/>
        </w:rPr>
        <w:t>EEL:</w:t>
      </w:r>
      <w:r>
        <w:rPr>
          <w:rFonts w:cs="Tahoma" w:ascii="Tahoma" w:hAnsi="Tahoma"/>
          <w:sz w:val="16"/>
        </w:rPr>
        <w:t xml:space="preserve"> Enron Europe Limited</w:t>
      </w:r>
    </w:p>
    <w:p>
      <w:pPr>
        <w:pStyle w:val="Normal"/>
        <w:jc w:val="end"/>
        <w:rPr/>
      </w:pPr>
      <w:r>
        <w:rPr>
          <w:rFonts w:cs="Tahoma" w:ascii="Tahoma" w:hAnsi="Tahoma"/>
          <w:b/>
          <w:sz w:val="16"/>
        </w:rPr>
        <w:t>EEPHL:</w:t>
      </w:r>
      <w:r>
        <w:rPr>
          <w:rFonts w:cs="Tahoma" w:ascii="Tahoma" w:hAnsi="Tahoma"/>
          <w:sz w:val="16"/>
        </w:rPr>
        <w:t xml:space="preserve"> Enron Europe Power Holdings Limited</w:t>
      </w:r>
    </w:p>
    <w:p>
      <w:pPr>
        <w:pStyle w:val="Normal"/>
        <w:jc w:val="end"/>
        <w:rPr/>
      </w:pPr>
      <w:r>
        <w:rPr>
          <w:rFonts w:cs="Tahoma" w:ascii="Tahoma" w:hAnsi="Tahoma"/>
          <w:b/>
          <w:sz w:val="16"/>
        </w:rPr>
        <w:t>EEP:</w:t>
      </w:r>
      <w:r>
        <w:rPr>
          <w:rFonts w:cs="Tahoma" w:ascii="Tahoma" w:hAnsi="Tahoma"/>
          <w:sz w:val="16"/>
        </w:rPr>
        <w:t xml:space="preserve"> Enron Europe Power</w:t>
      </w:r>
    </w:p>
    <w:p>
      <w:pPr>
        <w:pStyle w:val="Normal"/>
        <w:jc w:val="end"/>
        <w:rPr/>
      </w:pPr>
      <w:r>
        <w:rPr>
          <w:rFonts w:cs="Tahoma" w:ascii="Tahoma" w:hAnsi="Tahoma"/>
          <w:b/>
          <w:sz w:val="16"/>
        </w:rPr>
        <w:t>TPHL:</w:t>
      </w:r>
      <w:r>
        <w:rPr>
          <w:rFonts w:cs="Tahoma" w:ascii="Tahoma" w:hAnsi="Tahoma"/>
          <w:sz w:val="16"/>
        </w:rPr>
        <w:t xml:space="preserve"> Teeside Power Holding Limited</w:t>
      </w:r>
    </w:p>
    <w:p>
      <w:pPr>
        <w:pStyle w:val="Normal"/>
        <w:jc w:val="end"/>
        <w:rPr/>
      </w:pPr>
      <w:r>
        <w:rPr>
          <w:rFonts w:cs="Tahoma" w:ascii="Tahoma" w:hAnsi="Tahoma"/>
          <w:b/>
          <w:sz w:val="16"/>
        </w:rPr>
        <w:t>TPL:</w:t>
      </w:r>
      <w:r>
        <w:rPr>
          <w:rFonts w:cs="Tahoma" w:ascii="Tahoma" w:hAnsi="Tahoma"/>
          <w:sz w:val="16"/>
        </w:rPr>
        <w:t xml:space="preserve"> Teeside Power Limited</w:t>
      </w:r>
    </w:p>
    <w:p>
      <w:pPr>
        <w:pStyle w:val="Normal"/>
        <w:jc w:val="end"/>
        <w:rPr/>
      </w:pPr>
      <w:r>
        <w:rPr>
          <w:rFonts w:cs="Tahoma" w:ascii="Tahoma" w:hAnsi="Tahoma"/>
          <w:b/>
          <w:sz w:val="16"/>
        </w:rPr>
        <w:t>EPEL:</w:t>
      </w:r>
      <w:r>
        <w:rPr>
          <w:rFonts w:cs="Tahoma" w:ascii="Tahoma" w:hAnsi="Tahoma"/>
          <w:sz w:val="16"/>
        </w:rPr>
        <w:t xml:space="preserve"> Enron Power (Europe) Limited</w:t>
      </w:r>
    </w:p>
    <w:p>
      <w:pPr>
        <w:pStyle w:val="Normal"/>
        <w:jc w:val="end"/>
        <w:rPr/>
      </w:pPr>
      <w:r>
        <w:rPr>
          <w:rFonts w:cs="Tahoma" w:ascii="Tahoma" w:hAnsi="Tahoma"/>
          <w:b/>
          <w:sz w:val="16"/>
        </w:rPr>
        <w:t>SM B.V.:</w:t>
      </w:r>
      <w:r>
        <w:rPr>
          <w:rFonts w:cs="Tahoma" w:ascii="Tahoma" w:hAnsi="Tahoma"/>
          <w:sz w:val="16"/>
        </w:rPr>
        <w:t xml:space="preserve"> Strategic Money Management Corporation</w:t>
      </w:r>
    </w:p>
    <w:p>
      <w:pPr>
        <w:pStyle w:val="Heading4"/>
        <w:ind w:hanging="0" w:start="0"/>
        <w:rPr/>
      </w:pPr>
      <w:r>
        <w:rPr>
          <w:u w:val="none"/>
        </w:rPr>
        <w:t>Midlands:</w:t>
      </w:r>
      <w:r>
        <w:rPr>
          <w:b w:val="false"/>
          <w:u w:val="none"/>
        </w:rPr>
        <w:t xml:space="preserve"> Midland Investors</w:t>
      </w:r>
    </w:p>
    <w:p>
      <w:pPr>
        <w:pStyle w:val="Heading1"/>
        <w:ind w:hanging="0" w:start="0"/>
        <w:rPr/>
      </w:pPr>
      <w:r>
        <w:rPr/>
        <w:t>Description</w:t>
      </w:r>
    </w:p>
    <w:p>
      <w:pPr>
        <w:pStyle w:val="Normal"/>
        <w:rPr>
          <w:rFonts w:ascii="Tahoma" w:hAnsi="Tahoma" w:cs="Tahoma"/>
        </w:rPr>
      </w:pPr>
      <w:r>
        <w:rPr>
          <w:rFonts w:cs="Tahoma" w:ascii="Tahoma" w:hAnsi="Tahoma"/>
        </w:rPr>
        <w:t>Unwinding of the original Riverside I transaction and realisation of gain upon redemption of Z shares.</w:t>
      </w:r>
    </w:p>
    <w:p>
      <w:pPr>
        <w:pStyle w:val="Normal"/>
        <w:rPr>
          <w:rFonts w:ascii="Tahoma" w:hAnsi="Tahoma" w:cs="Tahoma"/>
        </w:rPr>
      </w:pPr>
      <w:r>
        <w:rPr>
          <w:rFonts w:cs="Tahoma" w:ascii="Tahoma" w:hAnsi="Tahoma"/>
        </w:rPr>
      </w:r>
    </w:p>
    <w:p>
      <w:pPr>
        <w:pStyle w:val="Heading1"/>
        <w:ind w:hanging="0" w:start="0"/>
        <w:rPr>
          <w:b w:val="false"/>
          <w:u w:val="single"/>
          <w:lang w:val="en-AU" w:eastAsia="en-US"/>
        </w:rPr>
      </w:pPr>
      <w:r>
        <w:rPr/>
        <w:t>Rationale</w:t>
      </w:r>
    </w:p>
    <w:p>
      <w:pPr>
        <w:pStyle w:val="Normal"/>
        <w:numPr>
          <w:ilvl w:val="0"/>
          <w:numId w:val="10"/>
        </w:numPr>
        <w:rPr>
          <w:rFonts w:ascii="Tahoma" w:hAnsi="Tahoma" w:cs="Tahoma"/>
          <w:lang w:val="en-AU" w:eastAsia="en-US"/>
        </w:rPr>
      </w:pPr>
      <w:r>
        <w:rPr>
          <w:rFonts w:cs="Tahoma" w:ascii="Tahoma" w:hAnsi="Tahoma"/>
          <w:lang w:val="en-AU" w:eastAsia="en-US"/>
        </w:rPr>
        <w:t xml:space="preserve">Eliminate the Thornbeam minority interest in EEP </w:t>
      </w:r>
    </w:p>
    <w:p>
      <w:pPr>
        <w:pStyle w:val="Normal"/>
        <w:numPr>
          <w:ilvl w:val="0"/>
          <w:numId w:val="10"/>
        </w:numPr>
        <w:rPr>
          <w:rFonts w:ascii="Tahoma" w:hAnsi="Tahoma" w:cs="Tahoma"/>
          <w:color w:val="FF0000"/>
          <w:u w:val="single"/>
          <w:lang w:val="en-AU" w:eastAsia="en-US"/>
        </w:rPr>
      </w:pPr>
      <w:r>
        <w:rPr>
          <w:rFonts w:cs="Tahoma" w:ascii="Tahoma" w:hAnsi="Tahoma"/>
          <w:lang w:val="en-AU" w:eastAsia="en-US"/>
        </w:rPr>
        <w:t xml:space="preserve">Have outside investors (SMM) hold a minority interest in EEPHL ? </w:t>
      </w:r>
      <w:r>
        <w:rPr>
          <w:rFonts w:cs="Tahoma" w:ascii="Tahoma" w:hAnsi="Tahoma"/>
          <w:color w:val="FF0000"/>
          <w:u w:val="single"/>
          <w:lang w:val="en-AU" w:eastAsia="en-US"/>
        </w:rPr>
        <w:t>(WHY?, so that risk gets disbursed between the debt providers and equity holders?)</w:t>
      </w:r>
    </w:p>
    <w:p>
      <w:pPr>
        <w:pStyle w:val="Normal"/>
        <w:numPr>
          <w:ilvl w:val="0"/>
          <w:numId w:val="10"/>
        </w:numPr>
        <w:rPr>
          <w:rFonts w:ascii="Tahoma" w:hAnsi="Tahoma" w:cs="Tahoma"/>
          <w:color w:val="FF0000"/>
          <w:u w:val="single"/>
          <w:lang w:val="en-AU" w:eastAsia="en-US"/>
        </w:rPr>
      </w:pPr>
      <w:r>
        <w:rPr>
          <w:rFonts w:cs="Tahoma" w:ascii="Tahoma" w:hAnsi="Tahoma"/>
        </w:rPr>
        <w:t>Retain strategic control of the TPL/TPHL</w:t>
      </w:r>
    </w:p>
    <w:p>
      <w:pPr>
        <w:pStyle w:val="Normal"/>
        <w:numPr>
          <w:ilvl w:val="0"/>
          <w:numId w:val="10"/>
        </w:numPr>
        <w:rPr>
          <w:rFonts w:ascii="Tahoma" w:hAnsi="Tahoma" w:cs="Tahoma"/>
        </w:rPr>
      </w:pPr>
      <w:r>
        <w:rPr>
          <w:rFonts w:cs="Tahoma" w:ascii="Tahoma" w:hAnsi="Tahoma"/>
        </w:rPr>
        <w:t>Realise accounting gain from redemption of Z pref shares under US GAAP</w:t>
      </w:r>
    </w:p>
    <w:p>
      <w:pPr>
        <w:pStyle w:val="Normal"/>
        <w:numPr>
          <w:ilvl w:val="0"/>
          <w:numId w:val="10"/>
        </w:numPr>
        <w:rPr>
          <w:rFonts w:ascii="Tahoma" w:hAnsi="Tahoma" w:cs="Tahoma"/>
        </w:rPr>
      </w:pPr>
      <w:r>
        <w:rPr>
          <w:rFonts w:cs="Tahoma" w:ascii="Tahoma" w:hAnsi="Tahoma"/>
        </w:rPr>
        <w:t>Create most efficient US &amp; UK tax treatment</w:t>
      </w:r>
    </w:p>
    <w:p>
      <w:pPr>
        <w:pStyle w:val="Footer"/>
        <w:tabs>
          <w:tab w:val="clear" w:pos="4153"/>
          <w:tab w:val="clear" w:pos="8306"/>
        </w:tabs>
        <w:rPr>
          <w:rFonts w:ascii="Tahoma" w:hAnsi="Tahoma" w:cs="Tahoma"/>
        </w:rPr>
      </w:pPr>
      <w:r>
        <w:rPr>
          <w:rFonts w:cs="Tahoma" w:ascii="Tahoma" w:hAnsi="Tahoma"/>
        </w:rPr>
      </w:r>
    </w:p>
    <w:p>
      <w:pPr>
        <w:pStyle w:val="Heading1"/>
        <w:ind w:hanging="0" w:start="0"/>
        <w:rPr/>
      </w:pPr>
      <w:r>
        <w:rPr/>
        <w:t>Transaction Mechanics</w:t>
      </w:r>
    </w:p>
    <w:p>
      <w:pPr>
        <w:pStyle w:val="Heading2"/>
        <w:ind w:hanging="0" w:start="0"/>
        <w:rPr/>
      </w:pPr>
      <w:r>
        <w:rPr/>
        <w:t xml:space="preserve">Background Information on Riverside I: </w:t>
      </w:r>
    </w:p>
    <w:p>
      <w:pPr>
        <w:pStyle w:val="Heading2"/>
        <w:numPr>
          <w:ilvl w:val="0"/>
          <w:numId w:val="8"/>
        </w:numPr>
        <w:rPr>
          <w:u w:val="none"/>
        </w:rPr>
      </w:pPr>
      <w:r>
        <w:rPr>
          <w:u w:val="none"/>
        </w:rPr>
        <w:t xml:space="preserve">Teeside is funded by a bank debt of £750mil.  It is owned 50% by Teeside Power Holding Limited and 50% by Regional Electricity Companies (Midland, Northern, SWEB, IDER). </w:t>
      </w:r>
    </w:p>
    <w:p>
      <w:pPr>
        <w:pStyle w:val="Heading2"/>
        <w:numPr>
          <w:ilvl w:val="0"/>
          <w:numId w:val="8"/>
        </w:numPr>
        <w:rPr>
          <w:u w:val="none"/>
        </w:rPr>
      </w:pPr>
      <w:r>
        <w:rPr>
          <w:u w:val="none"/>
        </w:rPr>
        <w:t xml:space="preserve">80% of the TPHL’s interest in Teeside Power Ltd is owned by EEP and 15% by Midland investors. </w:t>
      </w:r>
    </w:p>
    <w:p>
      <w:pPr>
        <w:pStyle w:val="Normal"/>
        <w:numPr>
          <w:ilvl w:val="0"/>
          <w:numId w:val="6"/>
        </w:numPr>
        <w:rPr>
          <w:rFonts w:ascii="Tahoma" w:hAnsi="Tahoma" w:cs="Tahoma"/>
          <w:color w:val="FF0000"/>
        </w:rPr>
      </w:pPr>
      <w:r>
        <w:rPr>
          <w:rFonts w:cs="Tahoma" w:ascii="Tahoma" w:hAnsi="Tahoma"/>
        </w:rPr>
        <w:t xml:space="preserve">EEP issues shares to Thornbeam Investors (200 1£ ords and 154m £1 prefs).  The dividends on the shares are payable semi-annually (Jan 4 and Jul 4).  </w:t>
      </w:r>
      <w:r>
        <w:rPr>
          <w:rFonts w:cs="Tahoma" w:ascii="Tahoma" w:hAnsi="Tahoma"/>
          <w:color w:val="FF0000"/>
        </w:rPr>
        <w:t>What % ownership this represents? What was the purpose of Riverside I and Thornbeam in it?</w:t>
      </w:r>
    </w:p>
    <w:p>
      <w:pPr>
        <w:pStyle w:val="Heading2"/>
        <w:numPr>
          <w:ilvl w:val="0"/>
          <w:numId w:val="7"/>
        </w:numPr>
        <w:rPr/>
      </w:pPr>
      <w:r>
        <w:rPr/>
        <w:t>The period is divided into two sub-periods:</w:t>
      </w:r>
    </w:p>
    <w:p>
      <w:pPr>
        <w:pStyle w:val="Normal"/>
        <w:numPr>
          <w:ilvl w:val="0"/>
          <w:numId w:val="12"/>
        </w:numPr>
        <w:tabs>
          <w:tab w:val="left" w:pos="720" w:leader="none"/>
        </w:tabs>
        <w:ind w:hanging="360" w:start="720" w:end="0"/>
        <w:rPr>
          <w:rFonts w:ascii="Tahoma" w:hAnsi="Tahoma" w:cs="Tahoma"/>
        </w:rPr>
      </w:pPr>
      <w:r>
        <w:rPr>
          <w:rFonts w:cs="Tahoma" w:ascii="Tahoma" w:hAnsi="Tahoma"/>
        </w:rPr>
        <w:t>Contractual (2000-2009)</w:t>
      </w:r>
    </w:p>
    <w:p>
      <w:pPr>
        <w:pStyle w:val="Normal"/>
        <w:numPr>
          <w:ilvl w:val="0"/>
          <w:numId w:val="12"/>
        </w:numPr>
        <w:tabs>
          <w:tab w:val="left" w:pos="720" w:leader="none"/>
        </w:tabs>
        <w:ind w:hanging="360" w:start="720" w:end="0"/>
        <w:rPr>
          <w:rFonts w:ascii="Tahoma" w:hAnsi="Tahoma" w:cs="Tahoma"/>
        </w:rPr>
      </w:pPr>
      <w:r>
        <w:rPr>
          <w:rFonts w:cs="Tahoma" w:ascii="Tahoma" w:hAnsi="Tahoma"/>
        </w:rPr>
        <w:t>Post-contractual (2009-2012), ENE plans to sell plant after 2012.</w:t>
      </w:r>
    </w:p>
    <w:p>
      <w:pPr>
        <w:pStyle w:val="Normal"/>
        <w:ind w:start="360" w:end="0"/>
        <w:rPr>
          <w:rFonts w:ascii="Tahoma" w:hAnsi="Tahoma" w:cs="Tahoma"/>
        </w:rPr>
      </w:pPr>
      <w:r>
        <w:rPr>
          <w:rFonts w:cs="Tahoma" w:ascii="Tahoma" w:hAnsi="Tahoma"/>
        </w:rPr>
      </w:r>
    </w:p>
    <w:p>
      <w:pPr>
        <w:pStyle w:val="Normal"/>
        <w:rPr/>
      </w:pPr>
      <w:r>
        <w:rPr>
          <w:rFonts w:cs="Tahoma" w:ascii="Tahoma" w:hAnsi="Tahoma"/>
          <w:u w:val="single"/>
        </w:rPr>
        <w:t>Background Information on Riverside I:</w:t>
      </w:r>
      <w:r>
        <w:rPr>
          <w:u w:val="single"/>
        </w:rPr>
        <w:t xml:space="preserve"> </w:t>
      </w:r>
    </w:p>
    <w:p>
      <w:pPr>
        <w:pStyle w:val="Normal"/>
        <w:rPr/>
      </w:pPr>
      <w:r>
        <w:rPr>
          <w:rFonts w:cs="Tahoma" w:ascii="Tahoma" w:hAnsi="Tahoma"/>
          <w:color w:val="000000"/>
          <w:lang w:val="en-AU" w:eastAsia="en-US"/>
        </w:rPr>
        <w:t xml:space="preserve">The basics of the transaction involve the unwinding of the original “Riverside I” transaction via the repurchase of </w:t>
      </w:r>
      <w:r>
        <w:rPr>
          <w:rFonts w:cs="Tahoma" w:ascii="Tahoma" w:hAnsi="Tahoma"/>
          <w:lang w:val="en-AU" w:eastAsia="en-US"/>
        </w:rPr>
        <w:t>Thornbeam’s interest</w:t>
      </w:r>
      <w:r>
        <w:rPr>
          <w:rFonts w:cs="Tahoma" w:ascii="Tahoma" w:hAnsi="Tahoma"/>
          <w:color w:val="000000"/>
          <w:lang w:val="en-AU" w:eastAsia="en-US"/>
        </w:rPr>
        <w:t xml:space="preserve"> in EEP followed by the insertion of a new investment holding company, EEPHL, between EEL and EEP.  On the creation of EEPHL</w:t>
      </w:r>
      <w:r>
        <w:rPr>
          <w:rFonts w:cs="Tahoma" w:ascii="Tahoma" w:hAnsi="Tahoma"/>
          <w:lang w:val="en-AU" w:eastAsia="en-US"/>
        </w:rPr>
        <w:t>, Enron Power (Europe) Limited (EPEL) w</w:t>
      </w:r>
      <w:r>
        <w:rPr>
          <w:rFonts w:cs="Tahoma" w:ascii="Tahoma" w:hAnsi="Tahoma"/>
          <w:color w:val="000000"/>
          <w:lang w:val="en-AU" w:eastAsia="en-US"/>
        </w:rPr>
        <w:t>ill subscribe for a redeemable “Z” Pref share in EEPHL.  Subsequently 50% of the interest in EEPHL will be sold to the Strategic Money Management Corporation B.V. (SMM).  At the time that SMM subscribes for an interest in EEPHL, EPEL’s Z pref shares will be redeemed.</w:t>
      </w:r>
    </w:p>
    <w:p>
      <w:pPr>
        <w:pStyle w:val="Normal"/>
        <w:rPr>
          <w:rFonts w:ascii="Tahoma" w:hAnsi="Tahoma" w:cs="Tahoma"/>
          <w:color w:val="000000"/>
          <w:u w:val="single"/>
          <w:lang w:val="en-AU" w:eastAsia="en-US"/>
        </w:rPr>
      </w:pPr>
      <w:r>
        <w:rPr>
          <w:rFonts w:cs="Tahoma" w:ascii="Tahoma" w:hAnsi="Tahoma"/>
          <w:color w:val="000000"/>
          <w:u w:val="single"/>
          <w:lang w:val="en-AU" w:eastAsia="en-US"/>
        </w:rPr>
      </w:r>
    </w:p>
    <w:p>
      <w:pPr>
        <w:pStyle w:val="Heading2"/>
        <w:ind w:hanging="0" w:start="0"/>
        <w:rPr/>
      </w:pPr>
      <w:r>
        <w:rPr/>
        <w:t>Transaction Steps</w:t>
      </w:r>
    </w:p>
    <w:p>
      <w:pPr>
        <w:pStyle w:val="Heading3"/>
        <w:ind w:hanging="0" w:start="0"/>
        <w:rPr>
          <w:rFonts w:ascii="Tahoma" w:hAnsi="Tahoma" w:cs="Tahoma"/>
          <w:b w:val="false"/>
          <w:color w:val="auto"/>
        </w:rPr>
      </w:pPr>
      <w:r>
        <w:rPr>
          <w:rFonts w:cs="Tahoma" w:ascii="Tahoma" w:hAnsi="Tahoma"/>
          <w:b w:val="false"/>
          <w:color w:val="auto"/>
        </w:rPr>
        <w:t>TRANSACTION 1 – UNWINDING RIVERSIDE</w:t>
      </w:r>
    </w:p>
    <w:p>
      <w:pPr>
        <w:pStyle w:val="Normal"/>
        <w:numPr>
          <w:ilvl w:val="0"/>
          <w:numId w:val="2"/>
        </w:numPr>
        <w:rPr>
          <w:rFonts w:ascii="Tahoma" w:hAnsi="Tahoma" w:cs="Tahoma"/>
          <w:lang w:val="en-AU" w:eastAsia="en-US"/>
        </w:rPr>
      </w:pPr>
      <w:r>
        <w:rPr>
          <w:rFonts w:cs="Tahoma" w:ascii="Tahoma" w:hAnsi="Tahoma"/>
          <w:lang w:val="en-AU" w:eastAsia="en-US"/>
        </w:rPr>
        <w:t>On 19th Sept. 1997 EEPHL was incorporated as a limited liability company.</w:t>
      </w:r>
    </w:p>
    <w:p>
      <w:pPr>
        <w:pStyle w:val="Normal"/>
        <w:numPr>
          <w:ilvl w:val="0"/>
          <w:numId w:val="2"/>
        </w:numPr>
        <w:rPr>
          <w:rFonts w:ascii="Tahoma" w:hAnsi="Tahoma" w:cs="Tahoma"/>
          <w:lang w:val="en-AU" w:eastAsia="en-US"/>
        </w:rPr>
      </w:pPr>
      <w:r>
        <w:rPr>
          <w:rFonts w:cs="Tahoma" w:ascii="Tahoma" w:hAnsi="Tahoma"/>
          <w:lang w:val="en-AU" w:eastAsia="en-US"/>
        </w:rPr>
        <w:t>On 23rd Sept. Thornbeam sold its Gilt investments.</w:t>
      </w:r>
    </w:p>
    <w:p>
      <w:pPr>
        <w:pStyle w:val="Normal"/>
        <w:numPr>
          <w:ilvl w:val="0"/>
          <w:numId w:val="2"/>
        </w:numPr>
        <w:rPr>
          <w:rFonts w:ascii="Tahoma" w:hAnsi="Tahoma" w:cs="Tahoma"/>
          <w:lang w:val="en-AU" w:eastAsia="en-US"/>
        </w:rPr>
      </w:pPr>
      <w:r>
        <w:rPr>
          <w:rFonts w:cs="Tahoma" w:ascii="Tahoma" w:hAnsi="Tahoma"/>
          <w:lang w:val="en-AU" w:eastAsia="en-US"/>
        </w:rPr>
        <w:t>On 24th Sept. TPHL recalled its loan from EEP (£55.2m).  These funds were subsequently loaned to EEL on the same day.</w:t>
      </w:r>
    </w:p>
    <w:p>
      <w:pPr>
        <w:pStyle w:val="Normal"/>
        <w:numPr>
          <w:ilvl w:val="0"/>
          <w:numId w:val="2"/>
        </w:numPr>
        <w:rPr>
          <w:rFonts w:ascii="Tahoma" w:hAnsi="Tahoma" w:cs="Tahoma"/>
          <w:lang w:val="en-AU" w:eastAsia="en-US"/>
        </w:rPr>
      </w:pPr>
      <w:r>
        <w:rPr>
          <w:rFonts w:cs="Tahoma" w:ascii="Tahoma" w:hAnsi="Tahoma"/>
          <w:lang w:val="en-AU" w:eastAsia="en-US"/>
        </w:rPr>
        <w:t>On 26th Sept. EEL drew down £59m from Chase on its short-term revolving credit facility.</w:t>
      </w:r>
    </w:p>
    <w:p>
      <w:pPr>
        <w:pStyle w:val="Normal"/>
        <w:numPr>
          <w:ilvl w:val="0"/>
          <w:numId w:val="2"/>
        </w:numPr>
        <w:rPr>
          <w:rFonts w:ascii="Tahoma" w:hAnsi="Tahoma" w:cs="Tahoma"/>
          <w:lang w:val="en-AU" w:eastAsia="en-US"/>
        </w:rPr>
      </w:pPr>
      <w:r>
        <w:rPr>
          <w:rFonts w:cs="Tahoma" w:ascii="Tahoma" w:hAnsi="Tahoma"/>
          <w:lang w:val="en-AU" w:eastAsia="en-US"/>
        </w:rPr>
        <w:t>On 26th Sept. EEL also drew down £125m from Enron Corp to provide short term funding for both the Riverside II and ESB II transactions.</w:t>
      </w:r>
    </w:p>
    <w:p>
      <w:pPr>
        <w:pStyle w:val="Normal"/>
        <w:numPr>
          <w:ilvl w:val="0"/>
          <w:numId w:val="2"/>
        </w:numPr>
        <w:rPr>
          <w:rFonts w:ascii="Tahoma" w:hAnsi="Tahoma" w:cs="Tahoma"/>
          <w:lang w:val="en-AU" w:eastAsia="en-US"/>
        </w:rPr>
      </w:pPr>
      <w:r>
        <w:rPr>
          <w:rFonts w:cs="Tahoma" w:ascii="Tahoma" w:hAnsi="Tahoma"/>
          <w:lang w:val="en-AU" w:eastAsia="en-US"/>
        </w:rPr>
        <w:t>On 26th Sept. EEP uses the proceeds of loans recalled to repurchase the ordinary shares held by Thornbeam for a payment of £50m.</w:t>
      </w:r>
    </w:p>
    <w:p>
      <w:pPr>
        <w:pStyle w:val="Normal"/>
        <w:numPr>
          <w:ilvl w:val="0"/>
          <w:numId w:val="3"/>
        </w:numPr>
        <w:rPr>
          <w:rFonts w:ascii="Tahoma" w:hAnsi="Tahoma" w:cs="Tahoma"/>
          <w:lang w:val="en-AU" w:eastAsia="en-US"/>
        </w:rPr>
      </w:pPr>
      <w:r>
        <w:rPr>
          <w:rFonts w:cs="Tahoma" w:ascii="Tahoma" w:hAnsi="Tahoma"/>
          <w:lang w:val="en-AU" w:eastAsia="en-US"/>
        </w:rPr>
        <w:t>On 26th Sept. Thornbeam uses the proceeds from the Gilts sale and sales of its investments in EEP to redeem the bonds and preference shares originally issued to SMM as part of the original Riverside transaction.</w:t>
      </w:r>
    </w:p>
    <w:p>
      <w:pPr>
        <w:pStyle w:val="Normal"/>
        <w:numPr>
          <w:ilvl w:val="0"/>
          <w:numId w:val="2"/>
        </w:numPr>
        <w:rPr>
          <w:rFonts w:ascii="Tahoma" w:hAnsi="Tahoma" w:cs="Tahoma"/>
          <w:lang w:val="en-AU" w:eastAsia="en-US"/>
        </w:rPr>
      </w:pPr>
      <w:r>
        <w:rPr>
          <w:rFonts w:cs="Tahoma" w:ascii="Tahoma" w:hAnsi="Tahoma"/>
          <w:lang w:val="en-AU" w:eastAsia="en-US"/>
        </w:rPr>
        <w:t>On 26th Sept. the Total Return Swap (TRS) between ECTR and Morgan Guaranty Trust (MGT) was terminated.  A new TRS was entered into on the same day.</w:t>
      </w:r>
    </w:p>
    <w:p>
      <w:pPr>
        <w:pStyle w:val="Normal"/>
        <w:numPr>
          <w:ilvl w:val="0"/>
          <w:numId w:val="2"/>
        </w:numPr>
        <w:rPr>
          <w:rFonts w:ascii="Tahoma" w:hAnsi="Tahoma" w:cs="Tahoma"/>
          <w:lang w:val="en-AU" w:eastAsia="en-US"/>
        </w:rPr>
      </w:pPr>
      <w:r>
        <w:rPr>
          <w:rFonts w:cs="Tahoma" w:ascii="Tahoma" w:hAnsi="Tahoma"/>
          <w:lang w:val="en-AU" w:eastAsia="en-US"/>
        </w:rPr>
        <w:t>On 26th Sept. EEL transfers its holding in EEP via a share for share exchange for shares in EEPHL to avoid tax obligation of sale.</w:t>
      </w:r>
    </w:p>
    <w:p>
      <w:pPr>
        <w:pStyle w:val="Normal"/>
        <w:numPr>
          <w:ilvl w:val="0"/>
          <w:numId w:val="2"/>
        </w:numPr>
        <w:rPr>
          <w:rFonts w:ascii="Tahoma" w:hAnsi="Tahoma" w:cs="Tahoma"/>
          <w:lang w:val="en-AU" w:eastAsia="en-US"/>
        </w:rPr>
      </w:pPr>
      <w:r>
        <w:rPr>
          <w:rFonts w:cs="Tahoma" w:ascii="Tahoma" w:hAnsi="Tahoma"/>
          <w:lang w:val="en-AU" w:eastAsia="en-US"/>
        </w:rPr>
        <w:t>On 26th Sept. EPEL subscribed £50m for a redeemable “Z” class Preference share in EEPHL (funded via loan from ECTRL).</w:t>
      </w:r>
    </w:p>
    <w:p>
      <w:pPr>
        <w:pStyle w:val="Normal"/>
        <w:rPr>
          <w:rFonts w:ascii="Tahoma" w:hAnsi="Tahoma" w:cs="Tahoma"/>
          <w:lang w:val="en-AU" w:eastAsia="en-US"/>
        </w:rPr>
      </w:pPr>
      <w:r>
        <w:rPr>
          <w:rFonts w:cs="Tahoma" w:ascii="Tahoma" w:hAnsi="Tahoma"/>
          <w:lang w:val="en-AU" w:eastAsia="en-US"/>
        </w:rPr>
      </w:r>
    </w:p>
    <w:p>
      <w:pPr>
        <w:pStyle w:val="Heading1"/>
        <w:ind w:hanging="0" w:start="0"/>
        <w:rPr>
          <w:b w:val="false"/>
          <w:lang w:val="en-AU" w:eastAsia="en-US"/>
        </w:rPr>
      </w:pPr>
      <w:r>
        <w:rPr>
          <w:b w:val="false"/>
          <w:lang w:val="en-AU" w:eastAsia="en-US"/>
        </w:rPr>
        <w:t>TRANSACTION 2 – CREATION OF NEW MINORITY INTEREST</w:t>
      </w:r>
    </w:p>
    <w:p>
      <w:pPr>
        <w:pStyle w:val="Normal"/>
        <w:numPr>
          <w:ilvl w:val="0"/>
          <w:numId w:val="5"/>
        </w:numPr>
        <w:rPr>
          <w:rFonts w:ascii="Tahoma" w:hAnsi="Tahoma" w:cs="Tahoma"/>
          <w:lang w:val="en-AU" w:eastAsia="en-US"/>
        </w:rPr>
      </w:pPr>
      <w:r>
        <w:rPr>
          <w:rFonts w:cs="Tahoma" w:ascii="Tahoma" w:hAnsi="Tahoma"/>
          <w:lang w:val="en-AU" w:eastAsia="en-US"/>
        </w:rPr>
        <w:t>On 26th Sept. SMM subscribes for class “A” ordinary shares in EEPHL (representing 50% of that class of shares): £3.5m ordinary shares for a total consideration of £50m.  The subscription was funded by SMM on the 26th.</w:t>
      </w:r>
    </w:p>
    <w:p>
      <w:pPr>
        <w:pStyle w:val="Normal"/>
        <w:numPr>
          <w:ilvl w:val="0"/>
          <w:numId w:val="5"/>
        </w:numPr>
        <w:rPr>
          <w:rFonts w:ascii="Tahoma" w:hAnsi="Tahoma" w:cs="Tahoma"/>
          <w:lang w:val="en-AU" w:eastAsia="en-US"/>
        </w:rPr>
      </w:pPr>
      <w:r>
        <w:rPr>
          <w:rFonts w:cs="Tahoma" w:ascii="Tahoma" w:hAnsi="Tahoma"/>
          <w:lang w:val="en-AU" w:eastAsia="en-US"/>
        </w:rPr>
        <w:t>On 26th Sept. ECTR enters into a new TRS with MGT based upon the new corporate structure.</w:t>
      </w:r>
    </w:p>
    <w:p>
      <w:pPr>
        <w:pStyle w:val="Normal"/>
        <w:rPr>
          <w:rFonts w:ascii="Tahoma" w:hAnsi="Tahoma" w:cs="Tahoma"/>
          <w:lang w:val="en-AU" w:eastAsia="en-US"/>
        </w:rPr>
      </w:pPr>
      <w:r>
        <w:rPr>
          <w:rFonts w:cs="Tahoma" w:ascii="Tahoma" w:hAnsi="Tahoma"/>
          <w:lang w:val="en-AU" w:eastAsia="en-US"/>
        </w:rPr>
      </w:r>
    </w:p>
    <w:p>
      <w:pPr>
        <w:pStyle w:val="Heading1"/>
        <w:ind w:hanging="0" w:start="0"/>
        <w:rPr>
          <w:b w:val="false"/>
          <w:lang w:val="en-AU" w:eastAsia="en-US"/>
        </w:rPr>
      </w:pPr>
      <w:r>
        <w:rPr>
          <w:b w:val="false"/>
          <w:lang w:val="en-AU" w:eastAsia="en-US"/>
        </w:rPr>
        <w:t>TRANSACTION 3 – REDEMPTION OF Z SHARE IN EEPHL</w:t>
      </w:r>
    </w:p>
    <w:p>
      <w:pPr>
        <w:pStyle w:val="Normal"/>
        <w:numPr>
          <w:ilvl w:val="0"/>
          <w:numId w:val="9"/>
        </w:numPr>
        <w:rPr>
          <w:rFonts w:ascii="Tahoma" w:hAnsi="Tahoma" w:cs="Tahoma"/>
          <w:lang w:val="en-AU" w:eastAsia="en-US"/>
        </w:rPr>
      </w:pPr>
      <w:r>
        <w:rPr>
          <w:rFonts w:cs="Tahoma" w:ascii="Tahoma" w:hAnsi="Tahoma"/>
          <w:lang w:val="en-AU" w:eastAsia="en-US"/>
        </w:rPr>
        <w:t>On 29th Sept EEPHL redeems EPEL’s “Z” class preference share for £50M, thus recuperates its capital investment. On 29th Sept EEPHL also pay the accrued Z Share Preference dividend to EPEL.</w:t>
      </w:r>
    </w:p>
    <w:p>
      <w:pPr>
        <w:pStyle w:val="Normal"/>
        <w:numPr>
          <w:ilvl w:val="0"/>
          <w:numId w:val="9"/>
        </w:numPr>
        <w:rPr>
          <w:rFonts w:ascii="Tahoma" w:hAnsi="Tahoma" w:cs="Tahoma"/>
          <w:lang w:val="en-AU" w:eastAsia="en-US"/>
        </w:rPr>
      </w:pPr>
      <w:r>
        <w:rPr>
          <w:rFonts w:cs="Tahoma" w:ascii="Tahoma" w:hAnsi="Tahoma"/>
          <w:lang w:val="en-AU" w:eastAsia="en-US"/>
        </w:rPr>
        <w:t>On 30th Sept EEL settles the loan provided by the revolving credit facility.</w:t>
      </w:r>
    </w:p>
    <w:p>
      <w:pPr>
        <w:pStyle w:val="Normal"/>
        <w:numPr>
          <w:ilvl w:val="0"/>
          <w:numId w:val="9"/>
        </w:numPr>
        <w:rPr>
          <w:rFonts w:ascii="Tahoma" w:hAnsi="Tahoma" w:cs="Tahoma"/>
          <w:lang w:val="en-AU" w:eastAsia="en-US"/>
        </w:rPr>
      </w:pPr>
      <w:r>
        <w:rPr>
          <w:rFonts w:cs="Tahoma" w:ascii="Tahoma" w:hAnsi="Tahoma"/>
          <w:lang w:val="en-AU" w:eastAsia="en-US"/>
        </w:rPr>
        <w:t>On 30th Sept EEL settles the loan provided by Enron Corp.</w:t>
      </w:r>
    </w:p>
    <w:p>
      <w:pPr>
        <w:pStyle w:val="Normal"/>
        <w:rPr>
          <w:rFonts w:ascii="Tahoma" w:hAnsi="Tahoma" w:cs="Tahoma"/>
          <w:lang w:val="en-AU" w:eastAsia="en-US"/>
        </w:rPr>
      </w:pPr>
      <w:r>
        <w:rPr>
          <w:rFonts w:cs="Tahoma" w:ascii="Tahoma" w:hAnsi="Tahoma"/>
          <w:lang w:val="en-AU" w:eastAsia="en-US"/>
        </w:rPr>
      </w:r>
    </w:p>
    <w:p>
      <w:pPr>
        <w:pStyle w:val="Normal"/>
        <w:rPr>
          <w:rFonts w:ascii="Tahoma" w:hAnsi="Tahoma" w:cs="Tahoma"/>
          <w:b/>
        </w:rPr>
      </w:pPr>
      <w:r>
        <w:rPr>
          <w:rFonts w:cs="Tahoma" w:ascii="Tahoma" w:hAnsi="Tahoma"/>
          <w:b/>
        </w:rPr>
        <w:t xml:space="preserve">Gain Recognition </w:t>
      </w:r>
    </w:p>
    <w:p>
      <w:pPr>
        <w:pStyle w:val="Normal"/>
        <w:numPr>
          <w:ilvl w:val="0"/>
          <w:numId w:val="9"/>
        </w:numPr>
        <w:rPr>
          <w:rFonts w:ascii="Tahoma" w:hAnsi="Tahoma" w:cs="Tahoma"/>
          <w:lang w:val="en-AU" w:eastAsia="en-US"/>
        </w:rPr>
      </w:pPr>
      <w:r>
        <w:rPr>
          <w:rFonts w:cs="Tahoma" w:ascii="Tahoma" w:hAnsi="Tahoma"/>
          <w:lang w:val="en-AU" w:eastAsia="en-US"/>
        </w:rPr>
        <w:t>Because Z shares are redeemed at their face value (£50), there is no capital gain tax.</w:t>
      </w:r>
    </w:p>
    <w:p>
      <w:pPr>
        <w:pStyle w:val="Normal"/>
        <w:numPr>
          <w:ilvl w:val="0"/>
          <w:numId w:val="11"/>
        </w:numPr>
        <w:jc w:val="both"/>
        <w:rPr>
          <w:rFonts w:ascii="Tahoma" w:hAnsi="Tahoma" w:cs="Tahoma"/>
        </w:rPr>
      </w:pPr>
      <w:r>
        <w:rPr>
          <w:rFonts w:cs="Tahoma" w:ascii="Tahoma" w:hAnsi="Tahoma"/>
        </w:rPr>
        <w:t>An accounting gain however, can be recognised as the book basis in the Z share is reallocated among the A, B and Z shares. The calculation follows below:</w:t>
      </w:r>
    </w:p>
    <w:p>
      <w:pPr>
        <w:pStyle w:val="Normal"/>
        <w:jc w:val="both"/>
        <w:rPr>
          <w:rFonts w:ascii="Tahoma" w:hAnsi="Tahoma" w:cs="Tahoma"/>
        </w:rPr>
      </w:pPr>
      <w:r>
        <w:rPr>
          <w:rFonts w:cs="Tahoma" w:ascii="Tahoma" w:hAnsi="Tahoma"/>
        </w:rPr>
      </w:r>
    </w:p>
    <w:p>
      <w:pPr>
        <w:pStyle w:val="Normal"/>
        <w:numPr>
          <w:ilvl w:val="0"/>
          <w:numId w:val="4"/>
        </w:numPr>
        <w:tabs>
          <w:tab w:val="clear" w:pos="720"/>
          <w:tab w:val="left" w:pos="360" w:leader="none"/>
        </w:tabs>
        <w:ind w:hanging="360" w:start="360" w:end="0"/>
        <w:jc w:val="both"/>
        <w:rPr>
          <w:rFonts w:ascii="Tahoma" w:hAnsi="Tahoma" w:cs="Tahoma"/>
        </w:rPr>
      </w:pPr>
      <w:r>
        <w:rPr>
          <w:rFonts w:cs="Tahoma" w:ascii="Tahoma" w:hAnsi="Tahoma"/>
        </w:rPr>
        <w:t>Total Basis of EEL group:</w:t>
      </w:r>
    </w:p>
    <w:tbl>
      <w:tblPr>
        <w:tblW w:w="8363" w:type="dxa"/>
        <w:jc w:val="start"/>
        <w:tblInd w:w="534" w:type="dxa"/>
        <w:tblLayout w:type="fixed"/>
        <w:tblCellMar>
          <w:top w:w="0" w:type="dxa"/>
          <w:start w:w="108" w:type="dxa"/>
          <w:bottom w:w="0" w:type="dxa"/>
          <w:end w:w="108" w:type="dxa"/>
        </w:tblCellMar>
      </w:tblPr>
      <w:tblGrid>
        <w:gridCol w:w="3969"/>
        <w:gridCol w:w="1984"/>
        <w:gridCol w:w="2410"/>
      </w:tblGrid>
      <w:tr>
        <w:trPr/>
        <w:tc>
          <w:tcPr>
            <w:tcW w:w="3969" w:type="dxa"/>
            <w:tcBorders>
              <w:top w:val="single" w:sz="4" w:space="0" w:color="000000"/>
              <w:start w:val="single" w:sz="4" w:space="0" w:color="000000"/>
              <w:end w:val="single" w:sz="4" w:space="0" w:color="000000"/>
            </w:tcBorders>
          </w:tcPr>
          <w:p>
            <w:pPr>
              <w:pStyle w:val="Normal"/>
              <w:jc w:val="both"/>
              <w:rPr>
                <w:rFonts w:ascii="Tahoma" w:hAnsi="Tahoma" w:cs="Tahoma"/>
              </w:rPr>
            </w:pPr>
            <w:r>
              <w:rPr>
                <w:rFonts w:cs="Tahoma" w:ascii="Tahoma" w:hAnsi="Tahoma"/>
              </w:rPr>
              <w:t>TPHL + EEP (A+B+pref)</w:t>
            </w:r>
          </w:p>
        </w:tc>
        <w:tc>
          <w:tcPr>
            <w:tcW w:w="1984" w:type="dxa"/>
            <w:tcBorders>
              <w:top w:val="single" w:sz="4" w:space="0" w:color="000000"/>
              <w:start w:val="single" w:sz="4" w:space="0" w:color="000000"/>
            </w:tcBorders>
          </w:tcPr>
          <w:p>
            <w:pPr>
              <w:pStyle w:val="Normal"/>
              <w:jc w:val="end"/>
              <w:rPr>
                <w:rFonts w:ascii="Tahoma" w:hAnsi="Tahoma" w:cs="Tahoma"/>
              </w:rPr>
            </w:pPr>
            <w:r>
              <w:rPr>
                <w:rFonts w:cs="Tahoma" w:ascii="Tahoma" w:hAnsi="Tahoma"/>
              </w:rPr>
              <w:t>£153.0m</w:t>
            </w:r>
          </w:p>
        </w:tc>
        <w:tc>
          <w:tcPr>
            <w:tcW w:w="2410" w:type="dxa"/>
            <w:tcBorders>
              <w:top w:val="single" w:sz="4" w:space="0" w:color="000000"/>
              <w:end w:val="single" w:sz="4" w:space="0" w:color="000000"/>
            </w:tcBorders>
          </w:tcPr>
          <w:p>
            <w:pPr>
              <w:pStyle w:val="Normal"/>
              <w:snapToGrid w:val="false"/>
              <w:jc w:val="both"/>
              <w:rPr>
                <w:rFonts w:ascii="Tahoma" w:hAnsi="Tahoma" w:cs="Tahoma"/>
              </w:rPr>
            </w:pPr>
            <w:r>
              <w:rPr>
                <w:rFonts w:cs="Tahoma" w:ascii="Tahoma" w:hAnsi="Tahoma"/>
              </w:rPr>
            </w:r>
          </w:p>
        </w:tc>
      </w:tr>
      <w:tr>
        <w:trPr/>
        <w:tc>
          <w:tcPr>
            <w:tcW w:w="3969" w:type="dxa"/>
            <w:tcBorders>
              <w:top w:val="single" w:sz="4" w:space="0" w:color="000000"/>
              <w:start w:val="single" w:sz="4" w:space="0" w:color="000000"/>
              <w:bottom w:val="single" w:sz="12" w:space="0" w:color="000000"/>
              <w:end w:val="single" w:sz="4" w:space="0" w:color="000000"/>
            </w:tcBorders>
          </w:tcPr>
          <w:p>
            <w:pPr>
              <w:pStyle w:val="Normal"/>
              <w:jc w:val="both"/>
              <w:rPr>
                <w:rFonts w:ascii="Tahoma" w:hAnsi="Tahoma" w:cs="Tahoma"/>
              </w:rPr>
            </w:pPr>
            <w:r>
              <w:rPr>
                <w:rFonts w:cs="Tahoma" w:ascii="Tahoma" w:hAnsi="Tahoma"/>
              </w:rPr>
              <w:t>New basis in Z shares</w:t>
            </w:r>
          </w:p>
        </w:tc>
        <w:tc>
          <w:tcPr>
            <w:tcW w:w="1984" w:type="dxa"/>
            <w:tcBorders>
              <w:top w:val="single" w:sz="4" w:space="0" w:color="000000"/>
              <w:start w:val="single" w:sz="4" w:space="0" w:color="000000"/>
              <w:bottom w:val="single" w:sz="12" w:space="0" w:color="000000"/>
            </w:tcBorders>
          </w:tcPr>
          <w:p>
            <w:pPr>
              <w:pStyle w:val="Normal"/>
              <w:jc w:val="end"/>
              <w:rPr>
                <w:rFonts w:ascii="Tahoma" w:hAnsi="Tahoma" w:cs="Tahoma"/>
              </w:rPr>
            </w:pPr>
            <w:r>
              <w:rPr>
                <w:rFonts w:cs="Tahoma" w:ascii="Tahoma" w:hAnsi="Tahoma"/>
              </w:rPr>
              <w:t>£50.0m</w:t>
            </w:r>
          </w:p>
        </w:tc>
        <w:tc>
          <w:tcPr>
            <w:tcW w:w="2410" w:type="dxa"/>
            <w:tcBorders>
              <w:top w:val="single" w:sz="4" w:space="0" w:color="000000"/>
              <w:bottom w:val="single" w:sz="12" w:space="0" w:color="000000"/>
              <w:end w:val="single" w:sz="4" w:space="0" w:color="000000"/>
            </w:tcBorders>
          </w:tcPr>
          <w:p>
            <w:pPr>
              <w:pStyle w:val="Normal"/>
              <w:snapToGrid w:val="false"/>
              <w:jc w:val="both"/>
              <w:rPr>
                <w:rFonts w:ascii="Tahoma" w:hAnsi="Tahoma" w:cs="Tahoma"/>
              </w:rPr>
            </w:pPr>
            <w:r>
              <w:rPr>
                <w:rFonts w:cs="Tahoma" w:ascii="Tahoma" w:hAnsi="Tahoma"/>
              </w:rPr>
            </w:r>
          </w:p>
        </w:tc>
      </w:tr>
      <w:tr>
        <w:trPr/>
        <w:tc>
          <w:tcPr>
            <w:tcW w:w="3969" w:type="dxa"/>
            <w:tcBorders>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Total Value</w:t>
            </w:r>
          </w:p>
        </w:tc>
        <w:tc>
          <w:tcPr>
            <w:tcW w:w="1984" w:type="dxa"/>
            <w:tcBorders>
              <w:start w:val="single" w:sz="4" w:space="0" w:color="000000"/>
              <w:bottom w:val="single" w:sz="4" w:space="0" w:color="000000"/>
            </w:tcBorders>
          </w:tcPr>
          <w:p>
            <w:pPr>
              <w:pStyle w:val="Normal"/>
              <w:jc w:val="end"/>
              <w:rPr>
                <w:rFonts w:ascii="Tahoma" w:hAnsi="Tahoma" w:cs="Tahoma"/>
              </w:rPr>
            </w:pPr>
            <w:r>
              <w:rPr>
                <w:rFonts w:cs="Tahoma" w:ascii="Tahoma" w:hAnsi="Tahoma"/>
              </w:rPr>
              <w:t>£203.0m</w:t>
            </w:r>
          </w:p>
        </w:tc>
        <w:tc>
          <w:tcPr>
            <w:tcW w:w="2410" w:type="dxa"/>
            <w:tcBorders>
              <w:bottom w:val="single" w:sz="4" w:space="0" w:color="000000"/>
              <w:end w:val="single" w:sz="4" w:space="0" w:color="000000"/>
            </w:tcBorders>
          </w:tcPr>
          <w:p>
            <w:pPr>
              <w:pStyle w:val="Normal"/>
              <w:snapToGrid w:val="false"/>
              <w:jc w:val="both"/>
              <w:rPr>
                <w:rFonts w:ascii="Tahoma" w:hAnsi="Tahoma" w:cs="Tahoma"/>
              </w:rPr>
            </w:pPr>
            <w:r>
              <w:rPr>
                <w:rFonts w:cs="Tahoma" w:ascii="Tahoma" w:hAnsi="Tahoma"/>
              </w:rPr>
            </w:r>
          </w:p>
        </w:tc>
      </w:tr>
    </w:tbl>
    <w:p>
      <w:pPr>
        <w:pStyle w:val="Normal"/>
        <w:jc w:val="both"/>
        <w:rPr>
          <w:rFonts w:ascii="Tahoma" w:hAnsi="Tahoma" w:cs="Tahoma"/>
        </w:rPr>
      </w:pPr>
      <w:r>
        <w:rPr>
          <w:rFonts w:cs="Tahoma" w:ascii="Tahoma" w:hAnsi="Tahoma"/>
        </w:rPr>
      </w:r>
    </w:p>
    <w:p>
      <w:pPr>
        <w:pStyle w:val="Normal"/>
        <w:numPr>
          <w:ilvl w:val="0"/>
          <w:numId w:val="4"/>
        </w:numPr>
        <w:tabs>
          <w:tab w:val="clear" w:pos="720"/>
          <w:tab w:val="left" w:pos="360" w:leader="none"/>
        </w:tabs>
        <w:ind w:hanging="360" w:start="360" w:end="0"/>
        <w:jc w:val="both"/>
        <w:rPr>
          <w:rFonts w:ascii="Tahoma" w:hAnsi="Tahoma" w:cs="Tahoma"/>
        </w:rPr>
      </w:pPr>
      <w:r>
        <w:rPr>
          <w:rFonts w:cs="Tahoma" w:ascii="Tahoma" w:hAnsi="Tahoma"/>
        </w:rPr>
        <w:t>Apportionment of value across shares:</w:t>
      </w:r>
    </w:p>
    <w:tbl>
      <w:tblPr>
        <w:tblW w:w="8363" w:type="dxa"/>
        <w:jc w:val="start"/>
        <w:tblInd w:w="534" w:type="dxa"/>
        <w:tblLayout w:type="fixed"/>
        <w:tblCellMar>
          <w:top w:w="0" w:type="dxa"/>
          <w:start w:w="108" w:type="dxa"/>
          <w:bottom w:w="0" w:type="dxa"/>
          <w:end w:w="108" w:type="dxa"/>
        </w:tblCellMar>
      </w:tblPr>
      <w:tblGrid>
        <w:gridCol w:w="1559"/>
        <w:gridCol w:w="2410"/>
        <w:gridCol w:w="1984"/>
        <w:gridCol w:w="2410"/>
      </w:tblGrid>
      <w:tr>
        <w:trPr/>
        <w:tc>
          <w:tcPr>
            <w:tcW w:w="1559" w:type="dxa"/>
            <w:tcBorders>
              <w:top w:val="single" w:sz="4" w:space="0" w:color="000000"/>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A Shares</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Out of EEP (@10.6%)</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£93.5m</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21%</w:t>
            </w:r>
          </w:p>
        </w:tc>
      </w:tr>
      <w:tr>
        <w:trPr/>
        <w:tc>
          <w:tcPr>
            <w:tcW w:w="1559" w:type="dxa"/>
            <w:tcBorders>
              <w:top w:val="single" w:sz="4" w:space="0" w:color="000000"/>
              <w:start w:val="single" w:sz="4" w:space="0" w:color="000000"/>
              <w:end w:val="single" w:sz="4" w:space="0" w:color="000000"/>
            </w:tcBorders>
          </w:tcPr>
          <w:p>
            <w:pPr>
              <w:pStyle w:val="Normal"/>
              <w:jc w:val="both"/>
              <w:rPr>
                <w:rFonts w:ascii="Tahoma" w:hAnsi="Tahoma" w:cs="Tahoma"/>
              </w:rPr>
            </w:pPr>
            <w:r>
              <w:rPr>
                <w:rFonts w:cs="Tahoma" w:ascii="Tahoma" w:hAnsi="Tahoma"/>
              </w:rPr>
              <w:t>B Shares</w:t>
            </w:r>
          </w:p>
        </w:tc>
        <w:tc>
          <w:tcPr>
            <w:tcW w:w="2410" w:type="dxa"/>
            <w:tcBorders>
              <w:top w:val="single" w:sz="4" w:space="0" w:color="000000"/>
              <w:start w:val="single" w:sz="4" w:space="0" w:color="000000"/>
              <w:end w:val="single" w:sz="4" w:space="0" w:color="000000"/>
            </w:tcBorders>
          </w:tcPr>
          <w:p>
            <w:pPr>
              <w:pStyle w:val="Normal"/>
              <w:jc w:val="both"/>
              <w:rPr>
                <w:rFonts w:ascii="Tahoma" w:hAnsi="Tahoma" w:cs="Tahoma"/>
              </w:rPr>
            </w:pPr>
            <w:r>
              <w:rPr>
                <w:rFonts w:cs="Tahoma" w:ascii="Tahoma" w:hAnsi="Tahoma"/>
              </w:rPr>
              <w:t>Out of EEP (@10.6%)</w:t>
            </w:r>
          </w:p>
        </w:tc>
        <w:tc>
          <w:tcPr>
            <w:tcW w:w="1984"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£43.3m</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9.7%</w:t>
            </w:r>
          </w:p>
        </w:tc>
      </w:tr>
      <w:tr>
        <w:trPr/>
        <w:tc>
          <w:tcPr>
            <w:tcW w:w="1559" w:type="dxa"/>
            <w:tcBorders>
              <w:top w:val="single" w:sz="4" w:space="0" w:color="000000"/>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Pref shares</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Out of EEP (@10.6%)</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£259.1m</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58.1%</w:t>
            </w:r>
          </w:p>
        </w:tc>
      </w:tr>
      <w:tr>
        <w:trPr/>
        <w:tc>
          <w:tcPr>
            <w:tcW w:w="1559" w:type="dxa"/>
            <w:tcBorders>
              <w:start w:val="single" w:sz="4" w:space="0" w:color="000000"/>
              <w:bottom w:val="single" w:sz="12" w:space="0" w:color="000000"/>
              <w:end w:val="single" w:sz="4" w:space="0" w:color="000000"/>
            </w:tcBorders>
          </w:tcPr>
          <w:p>
            <w:pPr>
              <w:pStyle w:val="Normal"/>
              <w:jc w:val="both"/>
              <w:rPr>
                <w:rFonts w:ascii="Tahoma" w:hAnsi="Tahoma" w:cs="Tahoma"/>
              </w:rPr>
            </w:pPr>
            <w:r>
              <w:rPr>
                <w:rFonts w:cs="Tahoma" w:ascii="Tahoma" w:hAnsi="Tahoma"/>
              </w:rPr>
              <w:t>Z shares</w:t>
            </w:r>
          </w:p>
        </w:tc>
        <w:tc>
          <w:tcPr>
            <w:tcW w:w="2410" w:type="dxa"/>
            <w:tcBorders>
              <w:start w:val="single" w:sz="4" w:space="0" w:color="000000"/>
              <w:bottom w:val="single" w:sz="12" w:space="0" w:color="000000"/>
              <w:end w:val="single" w:sz="4" w:space="0" w:color="000000"/>
            </w:tcBorders>
          </w:tcPr>
          <w:p>
            <w:pPr>
              <w:pStyle w:val="Normal"/>
              <w:jc w:val="both"/>
              <w:rPr>
                <w:rFonts w:ascii="Tahoma" w:hAnsi="Tahoma" w:cs="Tahoma"/>
              </w:rPr>
            </w:pPr>
            <w:r>
              <w:rPr>
                <w:rFonts w:cs="Tahoma" w:ascii="Tahoma" w:hAnsi="Tahoma"/>
              </w:rPr>
              <w:t>Face value</w:t>
            </w:r>
          </w:p>
        </w:tc>
        <w:tc>
          <w:tcPr>
            <w:tcW w:w="1984" w:type="dxa"/>
            <w:tcBorders>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£50.0m</w:t>
            </w:r>
          </w:p>
        </w:tc>
        <w:tc>
          <w:tcPr>
            <w:tcW w:w="2410" w:type="dxa"/>
            <w:tcBorders>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11.2%</w:t>
            </w:r>
          </w:p>
        </w:tc>
      </w:tr>
      <w:tr>
        <w:trPr/>
        <w:tc>
          <w:tcPr>
            <w:tcW w:w="1559" w:type="dxa"/>
            <w:tcBorders>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Total</w:t>
            </w:r>
          </w:p>
        </w:tc>
        <w:tc>
          <w:tcPr>
            <w:tcW w:w="2410" w:type="dxa"/>
            <w:tcBorders>
              <w:start w:val="single" w:sz="4" w:space="0" w:color="000000"/>
              <w:bottom w:val="single" w:sz="4" w:space="0" w:color="000000"/>
              <w:end w:val="single" w:sz="4" w:space="0" w:color="000000"/>
            </w:tcBorders>
          </w:tcPr>
          <w:p>
            <w:pPr>
              <w:pStyle w:val="Normal"/>
              <w:snapToGrid w:val="false"/>
              <w:jc w:val="both"/>
              <w:rPr>
                <w:rFonts w:ascii="Tahoma" w:hAnsi="Tahoma" w:cs="Tahoma"/>
              </w:rPr>
            </w:pPr>
            <w:r>
              <w:rPr>
                <w:rFonts w:cs="Tahoma" w:ascii="Tahoma" w:hAnsi="Tahoma"/>
              </w:rPr>
            </w:r>
          </w:p>
        </w:tc>
        <w:tc>
          <w:tcPr>
            <w:tcW w:w="1984"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£445.9m</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100%</w:t>
            </w:r>
          </w:p>
        </w:tc>
      </w:tr>
    </w:tbl>
    <w:p>
      <w:pPr>
        <w:pStyle w:val="Normal"/>
        <w:numPr>
          <w:ilvl w:val="0"/>
          <w:numId w:val="4"/>
        </w:numPr>
        <w:tabs>
          <w:tab w:val="clear" w:pos="720"/>
          <w:tab w:val="left" w:pos="360" w:leader="none"/>
        </w:tabs>
        <w:ind w:hanging="360" w:start="360" w:end="0"/>
        <w:jc w:val="both"/>
        <w:rPr>
          <w:rFonts w:ascii="Tahoma" w:hAnsi="Tahoma" w:cs="Tahoma"/>
        </w:rPr>
      </w:pPr>
      <w:r>
        <w:rPr>
          <w:rFonts w:cs="Tahoma" w:ascii="Tahoma" w:hAnsi="Tahoma"/>
        </w:rPr>
        <w:t>Allocation of book basis (according to above)</w:t>
      </w:r>
    </w:p>
    <w:tbl>
      <w:tblPr>
        <w:tblW w:w="8363" w:type="dxa"/>
        <w:jc w:val="start"/>
        <w:tblInd w:w="534" w:type="dxa"/>
        <w:tblLayout w:type="fixed"/>
        <w:tblCellMar>
          <w:top w:w="0" w:type="dxa"/>
          <w:start w:w="108" w:type="dxa"/>
          <w:bottom w:w="0" w:type="dxa"/>
          <w:end w:w="108" w:type="dxa"/>
        </w:tblCellMar>
      </w:tblPr>
      <w:tblGrid>
        <w:gridCol w:w="3969"/>
        <w:gridCol w:w="1984"/>
        <w:gridCol w:w="2410"/>
      </w:tblGrid>
      <w:tr>
        <w:trPr/>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A’ Shares</w:t>
            </w:r>
          </w:p>
        </w:tc>
        <w:tc>
          <w:tcPr>
            <w:tcW w:w="1984"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21%</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£42.m</w:t>
            </w:r>
          </w:p>
        </w:tc>
      </w:tr>
      <w:tr>
        <w:trPr/>
        <w:tc>
          <w:tcPr>
            <w:tcW w:w="3969" w:type="dxa"/>
            <w:tcBorders>
              <w:top w:val="single" w:sz="4" w:space="0" w:color="000000"/>
              <w:start w:val="single" w:sz="4" w:space="0" w:color="000000"/>
              <w:end w:val="single" w:sz="4" w:space="0" w:color="000000"/>
            </w:tcBorders>
          </w:tcPr>
          <w:p>
            <w:pPr>
              <w:pStyle w:val="Normal"/>
              <w:jc w:val="both"/>
              <w:rPr>
                <w:rFonts w:ascii="Tahoma" w:hAnsi="Tahoma" w:cs="Tahoma"/>
              </w:rPr>
            </w:pPr>
            <w:r>
              <w:rPr>
                <w:rFonts w:cs="Tahoma" w:ascii="Tahoma" w:hAnsi="Tahoma"/>
              </w:rPr>
              <w:t>B’ Shares</w:t>
            </w:r>
          </w:p>
        </w:tc>
        <w:tc>
          <w:tcPr>
            <w:tcW w:w="1984"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9.7%</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£19.7m</w:t>
            </w:r>
          </w:p>
        </w:tc>
      </w:tr>
      <w:tr>
        <w:trPr/>
        <w:tc>
          <w:tcPr>
            <w:tcW w:w="3969" w:type="dxa"/>
            <w:tcBorders>
              <w:top w:val="single" w:sz="4" w:space="0" w:color="000000"/>
              <w:start w:val="single" w:sz="4" w:space="0" w:color="000000"/>
              <w:end w:val="single" w:sz="4" w:space="0" w:color="000000"/>
            </w:tcBorders>
          </w:tcPr>
          <w:p>
            <w:pPr>
              <w:pStyle w:val="Normal"/>
              <w:jc w:val="both"/>
              <w:rPr>
                <w:rFonts w:ascii="Tahoma" w:hAnsi="Tahoma" w:cs="Tahoma"/>
              </w:rPr>
            </w:pPr>
            <w:r>
              <w:rPr>
                <w:rFonts w:cs="Tahoma" w:ascii="Tahoma" w:hAnsi="Tahoma"/>
              </w:rPr>
              <w:t>Pref shares</w:t>
            </w:r>
          </w:p>
        </w:tc>
        <w:tc>
          <w:tcPr>
            <w:tcW w:w="1984"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58.1%</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£118.0m</w:t>
            </w:r>
          </w:p>
        </w:tc>
      </w:tr>
      <w:tr>
        <w:trPr/>
        <w:tc>
          <w:tcPr>
            <w:tcW w:w="3969" w:type="dxa"/>
            <w:tcBorders>
              <w:top w:val="single" w:sz="4" w:space="0" w:color="000000"/>
              <w:start w:val="single" w:sz="4" w:space="0" w:color="000000"/>
              <w:bottom w:val="single" w:sz="12" w:space="0" w:color="000000"/>
              <w:end w:val="single" w:sz="4" w:space="0" w:color="000000"/>
            </w:tcBorders>
          </w:tcPr>
          <w:p>
            <w:pPr>
              <w:pStyle w:val="Normal"/>
              <w:jc w:val="both"/>
              <w:rPr>
                <w:rFonts w:ascii="Tahoma" w:hAnsi="Tahoma" w:cs="Tahoma"/>
              </w:rPr>
            </w:pPr>
            <w:r>
              <w:rPr>
                <w:rFonts w:cs="Tahoma" w:ascii="Tahoma" w:hAnsi="Tahoma"/>
              </w:rPr>
              <w:t>Z Shares</w:t>
            </w:r>
          </w:p>
        </w:tc>
        <w:tc>
          <w:tcPr>
            <w:tcW w:w="1984"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11.2%</w:t>
            </w:r>
          </w:p>
        </w:tc>
        <w:tc>
          <w:tcPr>
            <w:tcW w:w="2410"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£22.8m</w:t>
            </w:r>
          </w:p>
        </w:tc>
      </w:tr>
      <w:tr>
        <w:trPr/>
        <w:tc>
          <w:tcPr>
            <w:tcW w:w="3969" w:type="dxa"/>
            <w:tcBorders>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Total</w:t>
            </w:r>
          </w:p>
        </w:tc>
        <w:tc>
          <w:tcPr>
            <w:tcW w:w="1984"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100%</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£203.0m</w:t>
            </w:r>
          </w:p>
        </w:tc>
      </w:tr>
    </w:tbl>
    <w:p>
      <w:pPr>
        <w:pStyle w:val="Normal"/>
        <w:ind w:start="360" w:end="0"/>
        <w:jc w:val="both"/>
        <w:rPr>
          <w:rFonts w:ascii="Tahoma" w:hAnsi="Tahoma" w:cs="Tahoma"/>
        </w:rPr>
      </w:pPr>
      <w:r>
        <w:rPr>
          <w:rFonts w:cs="Tahoma" w:ascii="Tahoma" w:hAnsi="Tahoma"/>
        </w:rPr>
      </w:r>
    </w:p>
    <w:p>
      <w:pPr>
        <w:pStyle w:val="Normal"/>
        <w:numPr>
          <w:ilvl w:val="0"/>
          <w:numId w:val="4"/>
        </w:numPr>
        <w:tabs>
          <w:tab w:val="clear" w:pos="720"/>
          <w:tab w:val="left" w:pos="360" w:leader="none"/>
        </w:tabs>
        <w:ind w:hanging="360" w:start="360" w:end="0"/>
        <w:jc w:val="both"/>
        <w:rPr>
          <w:rFonts w:ascii="Tahoma" w:hAnsi="Tahoma" w:cs="Tahoma"/>
        </w:rPr>
      </w:pPr>
      <w:r>
        <w:rPr>
          <w:rFonts w:cs="Tahoma" w:ascii="Tahoma" w:hAnsi="Tahoma"/>
        </w:rPr>
        <w:t>Gain calculation</w:t>
      </w:r>
    </w:p>
    <w:tbl>
      <w:tblPr>
        <w:tblW w:w="8363" w:type="dxa"/>
        <w:jc w:val="start"/>
        <w:tblInd w:w="534" w:type="dxa"/>
        <w:tblLayout w:type="fixed"/>
        <w:tblCellMar>
          <w:top w:w="0" w:type="dxa"/>
          <w:start w:w="108" w:type="dxa"/>
          <w:bottom w:w="0" w:type="dxa"/>
          <w:end w:w="108" w:type="dxa"/>
        </w:tblCellMar>
      </w:tblPr>
      <w:tblGrid>
        <w:gridCol w:w="3969"/>
        <w:gridCol w:w="1984"/>
        <w:gridCol w:w="2410"/>
      </w:tblGrid>
      <w:tr>
        <w:trPr/>
        <w:tc>
          <w:tcPr>
            <w:tcW w:w="3969" w:type="dxa"/>
            <w:tcBorders>
              <w:top w:val="single" w:sz="4" w:space="0" w:color="000000"/>
              <w:start w:val="single" w:sz="4" w:space="0" w:color="000000"/>
              <w:end w:val="single" w:sz="4" w:space="0" w:color="000000"/>
            </w:tcBorders>
          </w:tcPr>
          <w:p>
            <w:pPr>
              <w:pStyle w:val="Normal"/>
              <w:rPr>
                <w:rFonts w:ascii="Tahoma" w:hAnsi="Tahoma" w:cs="Tahoma"/>
              </w:rPr>
            </w:pPr>
            <w:r>
              <w:rPr>
                <w:rFonts w:cs="Tahoma" w:ascii="Tahoma" w:hAnsi="Tahoma"/>
              </w:rPr>
              <w:t>Proceeds</w:t>
            </w:r>
          </w:p>
        </w:tc>
        <w:tc>
          <w:tcPr>
            <w:tcW w:w="1984" w:type="dxa"/>
            <w:tcBorders>
              <w:top w:val="single" w:sz="4" w:space="0" w:color="000000"/>
              <w:start w:val="single" w:sz="4" w:space="0" w:color="000000"/>
            </w:tcBorders>
          </w:tcPr>
          <w:p>
            <w:pPr>
              <w:pStyle w:val="Normal"/>
              <w:jc w:val="end"/>
              <w:rPr>
                <w:rFonts w:ascii="Tahoma" w:hAnsi="Tahoma" w:cs="Tahoma"/>
              </w:rPr>
            </w:pPr>
            <w:r>
              <w:rPr>
                <w:rFonts w:cs="Tahoma" w:ascii="Tahoma" w:hAnsi="Tahoma"/>
              </w:rPr>
              <w:t>£50m</w:t>
            </w:r>
          </w:p>
        </w:tc>
        <w:tc>
          <w:tcPr>
            <w:tcW w:w="2410" w:type="dxa"/>
            <w:tcBorders>
              <w:top w:val="single" w:sz="4"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Less: Basis</w:t>
            </w:r>
          </w:p>
        </w:tc>
        <w:tc>
          <w:tcPr>
            <w:tcW w:w="1984" w:type="dxa"/>
            <w:tcBorders>
              <w:top w:val="single" w:sz="4" w:space="0" w:color="000000"/>
              <w:start w:val="single" w:sz="4" w:space="0" w:color="000000"/>
              <w:bottom w:val="single" w:sz="12" w:space="0" w:color="000000"/>
            </w:tcBorders>
          </w:tcPr>
          <w:p>
            <w:pPr>
              <w:pStyle w:val="Normal"/>
              <w:jc w:val="end"/>
              <w:rPr>
                <w:rFonts w:ascii="Tahoma" w:hAnsi="Tahoma" w:cs="Tahoma"/>
              </w:rPr>
            </w:pPr>
            <w:r>
              <w:rPr>
                <w:rFonts w:cs="Tahoma" w:ascii="Tahoma" w:hAnsi="Tahoma"/>
              </w:rPr>
              <w:t>-£22.8m</w:t>
            </w:r>
          </w:p>
        </w:tc>
        <w:tc>
          <w:tcPr>
            <w:tcW w:w="2410" w:type="dxa"/>
            <w:tcBorders>
              <w:top w:val="single" w:sz="4" w:space="0" w:color="000000"/>
              <w:bottom w:val="single" w:sz="12"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Gross Gain</w:t>
            </w:r>
          </w:p>
        </w:tc>
        <w:tc>
          <w:tcPr>
            <w:tcW w:w="1984" w:type="dxa"/>
            <w:tcBorders>
              <w:start w:val="single" w:sz="4" w:space="0" w:color="000000"/>
              <w:bottom w:val="single" w:sz="4" w:space="0" w:color="000000"/>
            </w:tcBorders>
          </w:tcPr>
          <w:p>
            <w:pPr>
              <w:pStyle w:val="Normal"/>
              <w:jc w:val="end"/>
              <w:rPr>
                <w:rFonts w:ascii="Tahoma" w:hAnsi="Tahoma" w:cs="Tahoma"/>
              </w:rPr>
            </w:pPr>
            <w:r>
              <w:rPr>
                <w:rFonts w:cs="Tahoma" w:ascii="Tahoma" w:hAnsi="Tahoma"/>
              </w:rPr>
              <w:t>£27.2m</w:t>
            </w:r>
          </w:p>
        </w:tc>
        <w:tc>
          <w:tcPr>
            <w:tcW w:w="2410" w:type="dxa"/>
            <w:tcBorders>
              <w:bottom w:val="single" w:sz="4"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top w:val="single" w:sz="4" w:space="0" w:color="000000"/>
              <w:start w:val="single" w:sz="4" w:space="0" w:color="000000"/>
              <w:end w:val="single" w:sz="4" w:space="0" w:color="000000"/>
            </w:tcBorders>
          </w:tcPr>
          <w:p>
            <w:pPr>
              <w:pStyle w:val="Normal"/>
              <w:rPr>
                <w:rFonts w:ascii="Tahoma" w:hAnsi="Tahoma" w:cs="Tahoma"/>
              </w:rPr>
            </w:pPr>
            <w:r>
              <w:rPr>
                <w:rFonts w:cs="Tahoma" w:ascii="Tahoma" w:hAnsi="Tahoma"/>
              </w:rPr>
              <w:t>Less: Guarantee</w:t>
            </w:r>
          </w:p>
        </w:tc>
        <w:tc>
          <w:tcPr>
            <w:tcW w:w="1984" w:type="dxa"/>
            <w:tcBorders>
              <w:top w:val="single" w:sz="4" w:space="0" w:color="000000"/>
              <w:start w:val="single" w:sz="4" w:space="0" w:color="000000"/>
            </w:tcBorders>
          </w:tcPr>
          <w:p>
            <w:pPr>
              <w:pStyle w:val="Normal"/>
              <w:jc w:val="end"/>
              <w:rPr>
                <w:rFonts w:ascii="Tahoma" w:hAnsi="Tahoma" w:cs="Tahoma"/>
              </w:rPr>
            </w:pPr>
            <w:r>
              <w:rPr>
                <w:rFonts w:cs="Tahoma" w:ascii="Tahoma" w:hAnsi="Tahoma"/>
              </w:rPr>
              <w:t>-£0m</w:t>
            </w:r>
          </w:p>
        </w:tc>
        <w:tc>
          <w:tcPr>
            <w:tcW w:w="2410" w:type="dxa"/>
            <w:tcBorders>
              <w:top w:val="single" w:sz="4"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Less: Other costs/deductions of income</w:t>
            </w:r>
          </w:p>
        </w:tc>
        <w:tc>
          <w:tcPr>
            <w:tcW w:w="1984" w:type="dxa"/>
            <w:tcBorders>
              <w:top w:val="single" w:sz="4" w:space="0" w:color="000000"/>
              <w:start w:val="single" w:sz="4" w:space="0" w:color="000000"/>
              <w:bottom w:val="single" w:sz="12" w:space="0" w:color="000000"/>
            </w:tcBorders>
          </w:tcPr>
          <w:p>
            <w:pPr>
              <w:pStyle w:val="Normal"/>
              <w:jc w:val="end"/>
              <w:rPr>
                <w:rFonts w:ascii="Tahoma" w:hAnsi="Tahoma" w:cs="Tahoma"/>
              </w:rPr>
            </w:pPr>
            <w:r>
              <w:rPr>
                <w:rFonts w:cs="Tahoma" w:ascii="Tahoma" w:hAnsi="Tahoma"/>
              </w:rPr>
              <w:t>-£3.1m</w:t>
            </w:r>
          </w:p>
        </w:tc>
        <w:tc>
          <w:tcPr>
            <w:tcW w:w="2410" w:type="dxa"/>
            <w:tcBorders>
              <w:top w:val="single" w:sz="4" w:space="0" w:color="000000"/>
              <w:bottom w:val="single" w:sz="12"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Net Gain</w:t>
            </w:r>
          </w:p>
        </w:tc>
        <w:tc>
          <w:tcPr>
            <w:tcW w:w="1984" w:type="dxa"/>
            <w:tcBorders>
              <w:start w:val="single" w:sz="4" w:space="0" w:color="000000"/>
              <w:bottom w:val="single" w:sz="4" w:space="0" w:color="000000"/>
            </w:tcBorders>
          </w:tcPr>
          <w:p>
            <w:pPr>
              <w:pStyle w:val="Normal"/>
              <w:jc w:val="end"/>
              <w:rPr>
                <w:rFonts w:ascii="Tahoma" w:hAnsi="Tahoma" w:cs="Tahoma"/>
              </w:rPr>
            </w:pPr>
            <w:r>
              <w:rPr>
                <w:rFonts w:cs="Tahoma" w:ascii="Tahoma" w:hAnsi="Tahoma"/>
              </w:rPr>
              <w:t>£24.1m</w:t>
            </w:r>
          </w:p>
        </w:tc>
        <w:tc>
          <w:tcPr>
            <w:tcW w:w="2410" w:type="dxa"/>
            <w:tcBorders>
              <w:bottom w:val="single" w:sz="4"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Less: Tax</w:t>
            </w:r>
          </w:p>
        </w:tc>
        <w:tc>
          <w:tcPr>
            <w:tcW w:w="1984" w:type="dxa"/>
            <w:tcBorders>
              <w:top w:val="single" w:sz="4" w:space="0" w:color="000000"/>
              <w:start w:val="single" w:sz="4" w:space="0" w:color="000000"/>
              <w:bottom w:val="single" w:sz="12" w:space="0" w:color="000000"/>
            </w:tcBorders>
          </w:tcPr>
          <w:p>
            <w:pPr>
              <w:pStyle w:val="Normal"/>
              <w:jc w:val="end"/>
              <w:rPr>
                <w:rFonts w:ascii="Tahoma" w:hAnsi="Tahoma" w:cs="Tahoma"/>
              </w:rPr>
            </w:pPr>
            <w:r>
              <w:rPr>
                <w:rFonts w:cs="Tahoma" w:ascii="Tahoma" w:hAnsi="Tahoma"/>
              </w:rPr>
              <w:t>-£8.4m</w:t>
            </w:r>
          </w:p>
        </w:tc>
        <w:tc>
          <w:tcPr>
            <w:tcW w:w="2410" w:type="dxa"/>
            <w:tcBorders>
              <w:top w:val="single" w:sz="4" w:space="0" w:color="000000"/>
              <w:bottom w:val="single" w:sz="12"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Post Tax Gain (£)</w:t>
            </w:r>
          </w:p>
        </w:tc>
        <w:tc>
          <w:tcPr>
            <w:tcW w:w="1984" w:type="dxa"/>
            <w:tcBorders>
              <w:start w:val="single" w:sz="4" w:space="0" w:color="000000"/>
              <w:bottom w:val="single" w:sz="4" w:space="0" w:color="000000"/>
            </w:tcBorders>
          </w:tcPr>
          <w:p>
            <w:pPr>
              <w:pStyle w:val="Normal"/>
              <w:jc w:val="end"/>
              <w:rPr>
                <w:rFonts w:ascii="Tahoma" w:hAnsi="Tahoma" w:cs="Tahoma"/>
              </w:rPr>
            </w:pPr>
            <w:r>
              <w:rPr>
                <w:rFonts w:cs="Tahoma" w:ascii="Tahoma" w:hAnsi="Tahoma"/>
              </w:rPr>
              <w:t>£15.7m</w:t>
            </w:r>
          </w:p>
        </w:tc>
        <w:tc>
          <w:tcPr>
            <w:tcW w:w="2410" w:type="dxa"/>
            <w:tcBorders>
              <w:bottom w:val="single" w:sz="4" w:space="0" w:color="000000"/>
              <w:end w:val="single" w:sz="4" w:space="0" w:color="000000"/>
            </w:tcBorders>
          </w:tcPr>
          <w:p>
            <w:pPr>
              <w:pStyle w:val="Normal"/>
              <w:snapToGrid w:val="false"/>
              <w:rPr>
                <w:rFonts w:ascii="Tahoma" w:hAnsi="Tahoma" w:cs="Tahoma"/>
              </w:rPr>
            </w:pPr>
            <w:r>
              <w:rPr>
                <w:rFonts w:cs="Tahoma" w:ascii="Tahoma" w:hAnsi="Tahoma"/>
              </w:rPr>
            </w:r>
          </w:p>
        </w:tc>
      </w:tr>
      <w:tr>
        <w:trPr/>
        <w:tc>
          <w:tcPr>
            <w:tcW w:w="3969"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Post Tax Gain ($)</w:t>
            </w:r>
          </w:p>
        </w:tc>
        <w:tc>
          <w:tcPr>
            <w:tcW w:w="1984" w:type="dxa"/>
            <w:tcBorders>
              <w:top w:val="single" w:sz="4" w:space="0" w:color="000000"/>
              <w:start w:val="single" w:sz="4" w:space="0" w:color="000000"/>
              <w:bottom w:val="single" w:sz="4" w:space="0" w:color="000000"/>
            </w:tcBorders>
          </w:tcPr>
          <w:p>
            <w:pPr>
              <w:pStyle w:val="Normal"/>
              <w:jc w:val="end"/>
              <w:rPr>
                <w:rFonts w:ascii="Tahoma" w:hAnsi="Tahoma" w:cs="Tahoma"/>
              </w:rPr>
            </w:pPr>
            <w:r>
              <w:rPr>
                <w:rFonts w:cs="Tahoma" w:ascii="Tahoma" w:hAnsi="Tahoma"/>
              </w:rPr>
              <w:t>$25.4m</w:t>
            </w:r>
          </w:p>
        </w:tc>
        <w:tc>
          <w:tcPr>
            <w:tcW w:w="2410" w:type="dxa"/>
            <w:tcBorders>
              <w:top w:val="single" w:sz="4" w:space="0" w:color="000000"/>
              <w:bottom w:val="single" w:sz="4" w:space="0" w:color="000000"/>
              <w:end w:val="single" w:sz="4" w:space="0" w:color="000000"/>
            </w:tcBorders>
          </w:tcPr>
          <w:p>
            <w:pPr>
              <w:pStyle w:val="Normal"/>
              <w:snapToGrid w:val="false"/>
              <w:rPr>
                <w:rFonts w:ascii="Tahoma" w:hAnsi="Tahoma" w:cs="Tahoma"/>
              </w:rPr>
            </w:pPr>
            <w:r>
              <w:rPr>
                <w:rFonts w:cs="Tahoma" w:ascii="Tahoma" w:hAnsi="Tahoma"/>
              </w:rPr>
            </w:r>
          </w:p>
        </w:tc>
      </w:tr>
    </w:tbl>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Heading1"/>
        <w:ind w:hanging="0" w:start="0"/>
        <w:rPr/>
      </w:pPr>
      <w:r>
        <w:rPr/>
        <w:t>Share Descriptions</w:t>
      </w:r>
    </w:p>
    <w:p>
      <w:pPr>
        <w:pStyle w:val="Normal"/>
        <w:rPr>
          <w:rFonts w:ascii="Tahoma" w:hAnsi="Tahoma" w:cs="Tahoma"/>
        </w:rPr>
      </w:pPr>
      <w:r>
        <w:rPr>
          <w:rFonts w:cs="Tahoma" w:ascii="Tahoma" w:hAnsi="Tahoma"/>
        </w:rPr>
      </w:r>
    </w:p>
    <w:tbl>
      <w:tblPr>
        <w:tblW w:w="9174" w:type="dxa"/>
        <w:jc w:val="start"/>
        <w:tblInd w:w="0" w:type="dxa"/>
        <w:tblLayout w:type="fixed"/>
        <w:tblCellMar>
          <w:top w:w="0" w:type="dxa"/>
          <w:start w:w="108" w:type="dxa"/>
          <w:bottom w:w="0" w:type="dxa"/>
          <w:end w:w="108" w:type="dxa"/>
        </w:tblCellMar>
      </w:tblPr>
      <w:tblGrid>
        <w:gridCol w:w="1242"/>
        <w:gridCol w:w="7932"/>
      </w:tblGrid>
      <w:tr>
        <w:trPr/>
        <w:tc>
          <w:tcPr>
            <w:tcW w:w="1242" w:type="dxa"/>
            <w:tcBorders/>
          </w:tcPr>
          <w:p>
            <w:pPr>
              <w:pStyle w:val="Normal"/>
              <w:rPr>
                <w:rFonts w:ascii="Tahoma" w:hAnsi="Tahoma" w:cs="Tahoma"/>
                <w:lang w:val="en-AU" w:eastAsia="en-US"/>
              </w:rPr>
            </w:pPr>
            <w:r>
              <w:rPr>
                <w:rFonts w:cs="Tahoma" w:ascii="Tahoma" w:hAnsi="Tahoma"/>
                <w:lang w:val="en-AU" w:eastAsia="en-US"/>
              </w:rPr>
              <w:t>A Shares</w:t>
            </w:r>
          </w:p>
        </w:tc>
        <w:tc>
          <w:tcPr>
            <w:tcW w:w="7932" w:type="dxa"/>
            <w:tcBorders/>
          </w:tcPr>
          <w:p>
            <w:pPr>
              <w:pStyle w:val="Normal"/>
              <w:rPr>
                <w:rFonts w:ascii="Tahoma" w:hAnsi="Tahoma" w:cs="Tahoma"/>
                <w:lang w:val="en-AU" w:eastAsia="en-US"/>
              </w:rPr>
            </w:pPr>
            <w:r>
              <w:rPr>
                <w:rFonts w:cs="Tahoma" w:ascii="Tahoma" w:hAnsi="Tahoma"/>
                <w:lang w:val="en-AU" w:eastAsia="en-US"/>
              </w:rPr>
              <w:t>Represent 100% value of the TPL’s CTA period (2000-2008)</w:t>
            </w:r>
          </w:p>
        </w:tc>
      </w:tr>
      <w:tr>
        <w:trPr/>
        <w:tc>
          <w:tcPr>
            <w:tcW w:w="1242" w:type="dxa"/>
            <w:tcBorders/>
          </w:tcPr>
          <w:p>
            <w:pPr>
              <w:pStyle w:val="Normal"/>
              <w:rPr>
                <w:rFonts w:ascii="Tahoma" w:hAnsi="Tahoma" w:cs="Tahoma"/>
                <w:lang w:val="en-AU" w:eastAsia="en-US"/>
              </w:rPr>
            </w:pPr>
            <w:r>
              <w:rPr>
                <w:rFonts w:cs="Tahoma" w:ascii="Tahoma" w:hAnsi="Tahoma"/>
                <w:lang w:val="en-AU" w:eastAsia="en-US"/>
              </w:rPr>
              <w:t>B shares</w:t>
            </w:r>
          </w:p>
        </w:tc>
        <w:tc>
          <w:tcPr>
            <w:tcW w:w="7932" w:type="dxa"/>
            <w:tcBorders/>
          </w:tcPr>
          <w:p>
            <w:pPr>
              <w:pStyle w:val="Normal"/>
              <w:rPr>
                <w:rFonts w:ascii="Tahoma" w:hAnsi="Tahoma" w:cs="Tahoma"/>
                <w:lang w:val="en-AU" w:eastAsia="en-US"/>
              </w:rPr>
            </w:pPr>
            <w:r>
              <w:rPr>
                <w:rFonts w:cs="Tahoma" w:ascii="Tahoma" w:hAnsi="Tahoma"/>
                <w:lang w:val="en-AU" w:eastAsia="en-US"/>
              </w:rPr>
              <w:t>Represent 100% value of the TPL’s CTA period (2000-2008)</w:t>
            </w:r>
          </w:p>
        </w:tc>
      </w:tr>
      <w:tr>
        <w:trPr/>
        <w:tc>
          <w:tcPr>
            <w:tcW w:w="1242" w:type="dxa"/>
            <w:tcBorders/>
          </w:tcPr>
          <w:p>
            <w:pPr>
              <w:pStyle w:val="Normal"/>
              <w:rPr>
                <w:rFonts w:ascii="Tahoma" w:hAnsi="Tahoma" w:cs="Tahoma"/>
                <w:lang w:val="en-AU" w:eastAsia="en-US"/>
              </w:rPr>
            </w:pPr>
            <w:r>
              <w:rPr>
                <w:rFonts w:cs="Tahoma" w:ascii="Tahoma" w:hAnsi="Tahoma"/>
                <w:lang w:val="en-AU" w:eastAsia="en-US"/>
              </w:rPr>
              <w:t>Pref Shares</w:t>
            </w:r>
          </w:p>
        </w:tc>
        <w:tc>
          <w:tcPr>
            <w:tcW w:w="7932" w:type="dxa"/>
            <w:tcBorders/>
          </w:tcPr>
          <w:p>
            <w:pPr>
              <w:pStyle w:val="Normal"/>
              <w:rPr>
                <w:rFonts w:ascii="Tahoma" w:hAnsi="Tahoma" w:cs="Tahoma"/>
                <w:lang w:val="en-AU" w:eastAsia="en-US"/>
              </w:rPr>
            </w:pPr>
            <w:r>
              <w:rPr>
                <w:rFonts w:cs="Tahoma" w:ascii="Tahoma" w:hAnsi="Tahoma"/>
                <w:lang w:val="en-AU" w:eastAsia="en-US"/>
              </w:rPr>
              <w:t>Represent 100% value of the TPL’s post CTA period (2008-2012)</w:t>
            </w:r>
          </w:p>
        </w:tc>
      </w:tr>
      <w:tr>
        <w:trPr/>
        <w:tc>
          <w:tcPr>
            <w:tcW w:w="1242" w:type="dxa"/>
            <w:tcBorders/>
          </w:tcPr>
          <w:p>
            <w:pPr>
              <w:pStyle w:val="Normal"/>
              <w:rPr>
                <w:rFonts w:ascii="Tahoma" w:hAnsi="Tahoma" w:cs="Tahoma"/>
                <w:lang w:val="en-AU" w:eastAsia="en-US"/>
              </w:rPr>
            </w:pPr>
            <w:r>
              <w:rPr>
                <w:rFonts w:cs="Tahoma" w:ascii="Tahoma" w:hAnsi="Tahoma"/>
                <w:lang w:val="en-AU" w:eastAsia="en-US"/>
              </w:rPr>
              <w:t>Z shares</w:t>
            </w:r>
          </w:p>
        </w:tc>
        <w:tc>
          <w:tcPr>
            <w:tcW w:w="7932" w:type="dxa"/>
            <w:tcBorders/>
          </w:tcPr>
          <w:p>
            <w:pPr>
              <w:pStyle w:val="Footer"/>
              <w:tabs>
                <w:tab w:val="clear" w:pos="4153"/>
                <w:tab w:val="clear" w:pos="8306"/>
              </w:tabs>
              <w:rPr>
                <w:rFonts w:ascii="Tahoma" w:hAnsi="Tahoma" w:cs="Tahoma"/>
                <w:lang w:val="en-AU" w:eastAsia="en-US"/>
              </w:rPr>
            </w:pPr>
            <w:r>
              <w:rPr>
                <w:rFonts w:cs="Tahoma" w:ascii="Tahoma" w:hAnsi="Tahoma"/>
                <w:lang w:val="en-AU" w:eastAsia="en-US"/>
              </w:rPr>
              <w:t>Mechanic to achieve accounting gain.  Z shares were held by EPEL and redeemed by EEPHL for £50m.</w:t>
            </w:r>
          </w:p>
        </w:tc>
      </w:tr>
    </w:tbl>
    <w:p>
      <w:pPr>
        <w:pStyle w:val="Normal"/>
        <w:rPr/>
      </w:pPr>
      <w:r>
        <w:rPr/>
      </w:r>
    </w:p>
    <w:sectPr>
      <w:footerReference w:type="default" r:id="rId3"/>
      <w:type w:val="nextPage"/>
      <w:pgSz w:w="11906" w:h="16838"/>
      <w:pgMar w:left="1418" w:right="1418" w:gutter="0" w:header="0" w:top="1361"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48.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Tahoma" w:hAnsi="Tahoma" w:cs="Tahoma"/>
      <w:b/>
    </w:rPr>
  </w:style>
  <w:style w:type="paragraph" w:styleId="Heading2">
    <w:name w:val="heading 2"/>
    <w:basedOn w:val="Normal"/>
    <w:next w:val="Normal"/>
    <w:qFormat/>
    <w:pPr>
      <w:keepNext w:val="true"/>
      <w:numPr>
        <w:ilvl w:val="1"/>
        <w:numId w:val="1"/>
      </w:numPr>
      <w:outlineLvl w:val="1"/>
    </w:pPr>
    <w:rPr>
      <w:rFonts w:ascii="Tahoma" w:hAnsi="Tahoma" w:cs="Tahoma"/>
      <w:u w:val="single"/>
    </w:rPr>
  </w:style>
  <w:style w:type="paragraph" w:styleId="Heading3">
    <w:name w:val="heading 3"/>
    <w:basedOn w:val="Normal"/>
    <w:next w:val="Normal"/>
    <w:qFormat/>
    <w:pPr>
      <w:keepNext w:val="true"/>
      <w:numPr>
        <w:ilvl w:val="2"/>
        <w:numId w:val="1"/>
      </w:numPr>
      <w:outlineLvl w:val="2"/>
    </w:pPr>
    <w:rPr>
      <w:b/>
      <w:color w:val="0000FF"/>
      <w:lang w:val="en-AU" w:eastAsia="en-US"/>
    </w:rPr>
  </w:style>
  <w:style w:type="paragraph" w:styleId="Heading4">
    <w:name w:val="heading 4"/>
    <w:basedOn w:val="Normal"/>
    <w:next w:val="Normal"/>
    <w:qFormat/>
    <w:pPr>
      <w:keepNext w:val="true"/>
      <w:numPr>
        <w:ilvl w:val="3"/>
        <w:numId w:val="1"/>
      </w:numPr>
      <w:jc w:val="end"/>
      <w:outlineLvl w:val="3"/>
    </w:pPr>
    <w:rPr>
      <w:rFonts w:ascii="Tahoma" w:hAnsi="Tahoma" w:cs="Tahoma"/>
      <w:b/>
      <w:sz w:val="16"/>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ahoma" w:hAnsi="Tahoma" w:cs="Tahoma"/>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2000-03-01T08:53:00Z</dcterms:created>
  <dc:creator>ZStrmeno</dc:creator>
  <dc:description/>
  <dc:language>en-CA</dc:language>
  <cp:lastModifiedBy>ZStrmeno</cp:lastModifiedBy>
  <cp:lastPrinted>2000-03-01T11:55:00Z</cp:lastPrinted>
  <dcterms:modified xsi:type="dcterms:W3CDTF">2000-03-01T14:48:00Z</dcterms:modified>
  <cp:revision>5</cp:revision>
  <dc:subject/>
  <dc:title>Teeside/Riverside</dc:title>
</cp:coreProperties>
</file>