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139190" cy="1134745"/>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tbl>
      <w:tblPr>
        <w:tblW w:w="9718" w:type="dxa"/>
        <w:jc w:val="start"/>
        <w:tblInd w:w="200" w:type="dxa"/>
        <w:tblLayout w:type="fixed"/>
        <w:tblCellMar>
          <w:top w:w="0" w:type="dxa"/>
          <w:start w:w="108" w:type="dxa"/>
          <w:bottom w:w="0" w:type="dxa"/>
          <w:end w:w="108" w:type="dxa"/>
        </w:tblCellMar>
      </w:tblPr>
      <w:tblGrid>
        <w:gridCol w:w="708"/>
        <w:gridCol w:w="6580"/>
        <w:gridCol w:w="990"/>
        <w:gridCol w:w="1440"/>
      </w:tblGrid>
      <w:tr>
        <w:trPr>
          <w:trHeight w:val="598" w:hRule="exact"/>
        </w:trPr>
        <w:tc>
          <w:tcPr>
            <w:tcW w:w="708" w:type="dxa"/>
            <w:tcBorders/>
          </w:tcPr>
          <w:p>
            <w:pPr>
              <w:pStyle w:val="Normal"/>
              <w:ind w:start="-180" w:end="0"/>
              <w:jc w:val="center"/>
              <w:rPr>
                <w:sz w:val="16"/>
              </w:rPr>
            </w:pPr>
            <w:r>
              <w:rPr>
                <w:sz w:val="16"/>
              </w:rPr>
              <w:t>To:</w:t>
            </w:r>
          </w:p>
        </w:tc>
        <w:tc>
          <w:tcPr>
            <w:tcW w:w="6580" w:type="dxa"/>
            <w:tcBorders/>
          </w:tcPr>
          <w:p>
            <w:pPr>
              <w:pStyle w:val="To"/>
              <w:rPr/>
            </w:pPr>
            <w:r>
              <w:rPr/>
              <w:t xml:space="preserve">Rick Buy, Michael Brown, Fernley Dyson, Mark Pickering, Ted Murphy </w:t>
            </w:r>
          </w:p>
        </w:tc>
        <w:tc>
          <w:tcPr>
            <w:tcW w:w="990" w:type="dxa"/>
            <w:tcBorders/>
          </w:tcPr>
          <w:p>
            <w:pPr>
              <w:pStyle w:val="Normal"/>
              <w:snapToGrid w:val="false"/>
              <w:ind w:start="-180" w:end="0"/>
              <w:rPr/>
            </w:pPr>
            <w:r>
              <w:rPr/>
            </w:r>
          </w:p>
        </w:tc>
        <w:tc>
          <w:tcPr>
            <w:tcW w:w="1440" w:type="dxa"/>
            <w:tcBorders/>
          </w:tcPr>
          <w:p>
            <w:pPr>
              <w:pStyle w:val="Normal"/>
              <w:snapToGrid w:val="false"/>
              <w:rPr/>
            </w:pPr>
            <w:r>
              <w:rPr/>
            </w:r>
          </w:p>
        </w:tc>
      </w:tr>
      <w:tr>
        <w:trPr>
          <w:trHeight w:val="1345" w:hRule="exact"/>
        </w:trPr>
        <w:tc>
          <w:tcPr>
            <w:tcW w:w="708" w:type="dxa"/>
            <w:tcBorders/>
          </w:tcPr>
          <w:p>
            <w:pPr>
              <w:pStyle w:val="Normal"/>
              <w:jc w:val="center"/>
              <w:rPr>
                <w:sz w:val="18"/>
              </w:rPr>
            </w:pPr>
            <w:r>
              <w:rPr>
                <w:sz w:val="18"/>
              </w:rPr>
              <w:t>Cc:</w:t>
            </w:r>
          </w:p>
        </w:tc>
        <w:tc>
          <w:tcPr>
            <w:tcW w:w="6580" w:type="dxa"/>
            <w:tcBorders/>
          </w:tcPr>
          <w:p>
            <w:pPr>
              <w:pStyle w:val="Subject"/>
              <w:tabs>
                <w:tab w:val="left" w:pos="540" w:leader="none"/>
              </w:tabs>
              <w:rPr/>
            </w:pPr>
            <w:r>
              <w:rPr/>
              <w:t>Beth Apollo, Shona Wilson, David Hardy, Mike Jordan, Debbie Brackett, Burt McIntyre, David Port, Marc Maynard, Brian Hudson, Keith Bowie, Phil Yoxall, Tricia Donnelly, Steve Stock, Chris Abel, Nancy Hernandez, Cassi Wallace, Christy Lobusch, Kenneth Thibodeaux, Wand Curry, Tom Victorio, Susan Trevino, Zakiyyah McClure, Jennifer Velasco</w:t>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463" w:hRule="exact"/>
        </w:trPr>
        <w:tc>
          <w:tcPr>
            <w:tcW w:w="708" w:type="dxa"/>
            <w:tcBorders/>
          </w:tcPr>
          <w:p>
            <w:pPr>
              <w:pStyle w:val="Normal"/>
              <w:jc w:val="center"/>
              <w:rPr>
                <w:sz w:val="16"/>
              </w:rPr>
            </w:pPr>
            <w:r>
              <w:rPr>
                <w:sz w:val="16"/>
              </w:rPr>
              <w:t>From:</w:t>
            </w:r>
          </w:p>
        </w:tc>
        <w:tc>
          <w:tcPr>
            <w:tcW w:w="6580" w:type="dxa"/>
            <w:tcBorders/>
          </w:tcPr>
          <w:p>
            <w:pPr>
              <w:pStyle w:val="From"/>
              <w:rPr/>
            </w:pPr>
            <w:r>
              <w:rPr/>
              <w:t xml:space="preserve">Michael Kass, James New, </w:t>
            </w:r>
          </w:p>
        </w:tc>
        <w:tc>
          <w:tcPr>
            <w:tcW w:w="990" w:type="dxa"/>
            <w:tcBorders/>
          </w:tcPr>
          <w:p>
            <w:pPr>
              <w:pStyle w:val="Normal"/>
              <w:ind w:start="-180" w:end="0"/>
              <w:jc w:val="end"/>
              <w:rPr>
                <w:sz w:val="16"/>
              </w:rPr>
            </w:pPr>
            <w:r>
              <w:rPr>
                <w:sz w:val="16"/>
              </w:rPr>
              <w:t>Department:</w:t>
            </w:r>
          </w:p>
        </w:tc>
        <w:tc>
          <w:tcPr>
            <w:tcW w:w="1440" w:type="dxa"/>
            <w:tcBorders/>
          </w:tcPr>
          <w:p>
            <w:pPr>
              <w:pStyle w:val="Department"/>
              <w:rPr/>
            </w:pPr>
            <w:bookmarkStart w:id="0" w:name="From"/>
            <w:bookmarkEnd w:id="0"/>
            <w:r>
              <w:rPr/>
              <w:t>ECT-Europe</w:t>
            </w:r>
          </w:p>
        </w:tc>
      </w:tr>
      <w:tr>
        <w:trPr>
          <w:trHeight w:val="157" w:hRule="exact"/>
        </w:trPr>
        <w:tc>
          <w:tcPr>
            <w:tcW w:w="708" w:type="dxa"/>
            <w:tcBorders/>
          </w:tcPr>
          <w:p>
            <w:pPr>
              <w:pStyle w:val="Normal"/>
              <w:snapToGrid w:val="false"/>
              <w:ind w:start="-180" w:end="0"/>
              <w:jc w:val="center"/>
              <w:rPr>
                <w:sz w:val="18"/>
              </w:rPr>
            </w:pPr>
            <w:r>
              <w:rPr>
                <w:sz w:val="18"/>
              </w:rPr>
            </w:r>
          </w:p>
        </w:tc>
        <w:tc>
          <w:tcPr>
            <w:tcW w:w="658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553" w:hRule="exact"/>
        </w:trPr>
        <w:tc>
          <w:tcPr>
            <w:tcW w:w="708" w:type="dxa"/>
            <w:tcBorders>
              <w:bottom w:val="single" w:sz="12" w:space="0" w:color="000000"/>
            </w:tcBorders>
          </w:tcPr>
          <w:p>
            <w:pPr>
              <w:pStyle w:val="Normal"/>
              <w:ind w:start="-180" w:end="0"/>
              <w:jc w:val="center"/>
              <w:rPr>
                <w:sz w:val="16"/>
              </w:rPr>
            </w:pPr>
            <w:r>
              <w:rPr>
                <w:sz w:val="16"/>
              </w:rPr>
              <w:t>Subject:</w:t>
            </w:r>
          </w:p>
        </w:tc>
        <w:tc>
          <w:tcPr>
            <w:tcW w:w="6580" w:type="dxa"/>
            <w:tcBorders>
              <w:bottom w:val="single" w:sz="12" w:space="0" w:color="000000"/>
            </w:tcBorders>
          </w:tcPr>
          <w:p>
            <w:pPr>
              <w:pStyle w:val="Subject"/>
              <w:rPr/>
            </w:pPr>
            <w:r>
              <w:rPr/>
              <w:t>Enron Europe Risktrac Feed Summary – 13 Sept 2001</w:t>
            </w:r>
          </w:p>
        </w:tc>
        <w:tc>
          <w:tcPr>
            <w:tcW w:w="990" w:type="dxa"/>
            <w:tcBorders>
              <w:bottom w:val="single" w:sz="12" w:space="0" w:color="000000"/>
            </w:tcBorders>
          </w:tcPr>
          <w:p>
            <w:pPr>
              <w:pStyle w:val="Normal"/>
              <w:ind w:start="-180" w:end="0"/>
              <w:jc w:val="end"/>
              <w:rPr>
                <w:sz w:val="16"/>
              </w:rPr>
            </w:pPr>
            <w:r>
              <w:rPr>
                <w:sz w:val="16"/>
              </w:rPr>
              <w:t>Date:</w:t>
            </w:r>
          </w:p>
        </w:tc>
        <w:tc>
          <w:tcPr>
            <w:tcW w:w="1440" w:type="dxa"/>
            <w:tcBorders>
              <w:bottom w:val="single" w:sz="12" w:space="0" w:color="000000"/>
            </w:tcBorders>
          </w:tcPr>
          <w:p>
            <w:pPr>
              <w:pStyle w:val="Date"/>
              <w:rPr/>
            </w:pPr>
            <w:r>
              <w:rPr/>
              <w:t>Sept 14, 2001</w:t>
            </w:r>
          </w:p>
        </w:tc>
      </w:tr>
    </w:tbl>
    <w:p>
      <w:pPr>
        <w:pStyle w:val="Body"/>
        <w:rPr/>
      </w:pPr>
      <w:r>
        <w:rPr/>
      </w:r>
      <w:bookmarkStart w:id="1" w:name="StartOfMemo"/>
      <w:bookmarkStart w:id="2" w:name="StartOfMemo"/>
      <w:bookmarkEnd w:id="2"/>
    </w:p>
    <w:p>
      <w:pPr>
        <w:pStyle w:val="Body"/>
        <w:rPr/>
      </w:pPr>
      <w:r>
        <w:rPr/>
      </w:r>
    </w:p>
    <w:p>
      <w:pPr>
        <w:pStyle w:val="Body"/>
        <w:numPr>
          <w:ilvl w:val="0"/>
          <w:numId w:val="0"/>
        </w:numPr>
        <w:ind w:hanging="0" w:start="450" w:end="0"/>
        <w:outlineLvl w:val="0"/>
        <w:rPr/>
      </w:pPr>
      <w:r>
        <w:rPr>
          <w:b/>
          <w:i/>
          <w:color w:val="000000"/>
          <w:sz w:val="24"/>
          <w:u w:val="single"/>
        </w:rPr>
        <w:t>1. Feed Failures</w:t>
      </w:r>
      <w:r>
        <w:rPr>
          <w:b/>
          <w:i/>
          <w:color w:val="000000"/>
        </w:rPr>
        <w:t>: (Defined as not successfully loading into Risktrac by 6.00am Houston time as shown on the Risktrac intranet site – (http://risktracfeed.corp.enron.com)</w:t>
      </w:r>
    </w:p>
    <w:p>
      <w:pPr>
        <w:pStyle w:val="Body"/>
        <w:numPr>
          <w:ilvl w:val="0"/>
          <w:numId w:val="0"/>
        </w:numPr>
        <w:ind w:hanging="0" w:start="72"/>
        <w:outlineLvl w:val="0"/>
        <w:rPr>
          <w:b/>
          <w:i/>
          <w:i/>
          <w:color w:val="000000"/>
          <w:sz w:val="24"/>
        </w:rPr>
      </w:pPr>
      <w:r>
        <w:rPr>
          <w:b/>
          <w:i/>
          <w:color w:val="000000"/>
          <w:sz w:val="24"/>
        </w:rPr>
        <w:drawing>
          <wp:anchor behindDoc="0" distT="0" distB="0" distL="114935" distR="114935" simplePos="0" locked="0" layoutInCell="0" allowOverlap="1" relativeHeight="4">
            <wp:simplePos x="0" y="0"/>
            <wp:positionH relativeFrom="column">
              <wp:posOffset>280035</wp:posOffset>
            </wp:positionH>
            <wp:positionV relativeFrom="paragraph">
              <wp:posOffset>142240</wp:posOffset>
            </wp:positionV>
            <wp:extent cx="5766435" cy="2252980"/>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5" t="-12" r="-5" b="-12"/>
                    <a:stretch>
                      <a:fillRect/>
                    </a:stretch>
                  </pic:blipFill>
                  <pic:spPr bwMode="auto">
                    <a:xfrm>
                      <a:off x="0" y="0"/>
                      <a:ext cx="5766435" cy="2252980"/>
                    </a:xfrm>
                    <a:prstGeom prst="rect">
                      <a:avLst/>
                    </a:prstGeom>
                    <a:noFill/>
                  </pic:spPr>
                </pic:pic>
              </a:graphicData>
            </a:graphic>
          </wp:anchor>
        </w:drawing>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450" w:end="0"/>
        <w:outlineLvl w:val="0"/>
        <w:rPr>
          <w:bCs/>
          <w:i/>
          <w:i/>
          <w:color w:val="000000"/>
          <w:sz w:val="24"/>
        </w:rPr>
      </w:pPr>
      <w:r>
        <w:rPr>
          <w:b/>
          <w:i/>
          <w:color w:val="000000"/>
          <w:sz w:val="24"/>
          <w:u w:val="single"/>
        </w:rPr>
        <w:t>2. Data Failures</w:t>
      </w:r>
      <w:r>
        <w:rPr>
          <w:bCs/>
          <w:i/>
          <w:color w:val="000000"/>
          <w:u w:val="single"/>
        </w:rPr>
        <w:t>:</w:t>
      </w:r>
      <w:r>
        <w:rPr>
          <w:bCs/>
          <w:i/>
          <w:color w:val="000000"/>
        </w:rPr>
        <w:t xml:space="preserve">  (Eg. when data has been rolled or issues regarding data loaded into Risktrac):</w:t>
      </w:r>
    </w:p>
    <w:p>
      <w:pPr>
        <w:pStyle w:val="Body"/>
        <w:numPr>
          <w:ilvl w:val="0"/>
          <w:numId w:val="0"/>
        </w:numPr>
        <w:ind w:hanging="0" w:start="72"/>
        <w:outlineLvl w:val="0"/>
        <w:rPr>
          <w:b/>
          <w:bCs/>
          <w:i/>
          <w:i/>
          <w:color w:val="000000"/>
          <w:sz w:val="24"/>
        </w:rPr>
      </w:pPr>
      <w:r>
        <w:rPr>
          <w:b/>
          <w:bCs/>
          <w:i/>
          <w:color w:val="000000"/>
          <w:sz w:val="24"/>
        </w:rPr>
      </w:r>
    </w:p>
    <w:p>
      <w:pPr>
        <w:pStyle w:val="Body"/>
        <w:numPr>
          <w:ilvl w:val="0"/>
          <w:numId w:val="0"/>
        </w:numPr>
        <w:ind w:start="72" w:firstLine="648" w:end="0"/>
        <w:outlineLvl w:val="0"/>
        <w:rPr>
          <w:b/>
          <w:i/>
          <w:i/>
          <w:color w:val="000000"/>
          <w:sz w:val="24"/>
        </w:rPr>
      </w:pPr>
      <w:r>
        <w:rPr>
          <w:b/>
          <w:i/>
          <w:color w:val="000000"/>
          <w:sz w:val="24"/>
        </w:rPr>
        <w:t>No failures</w:t>
      </w:r>
    </w:p>
    <w:p>
      <w:pPr>
        <w:pStyle w:val="Body"/>
        <w:numPr>
          <w:ilvl w:val="0"/>
          <w:numId w:val="0"/>
        </w:numPr>
        <w:ind w:start="72" w:firstLine="648" w:end="0"/>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0" w:end="0"/>
        <w:outlineLvl w:val="0"/>
        <w:rPr>
          <w:b/>
          <w:i/>
          <w:i/>
          <w:color w:val="000000"/>
          <w:sz w:val="24"/>
        </w:rPr>
      </w:pPr>
      <w:r>
        <w:rPr>
          <w:b/>
          <w:i/>
          <w:color w:val="000000"/>
          <w:sz w:val="24"/>
        </w:rPr>
      </w:r>
    </w:p>
    <w:sectPr>
      <w:headerReference w:type="default" r:id="rId4"/>
      <w:headerReference w:type="first" r:id="rId5"/>
      <w:footerReference w:type="default" r:id="rId6"/>
      <w:footerReference w:type="first" r:id="rId7"/>
      <w:type w:val="nextPage"/>
      <w:pgSz w:w="11906" w:h="16838"/>
      <w:pgMar w:left="720" w:right="720" w:gutter="0" w:header="1077" w:top="1133" w:footer="357" w:bottom="41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3"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style>
  <w:style w:type="character" w:styleId="WW8Num19z0">
    <w:name w:val="WW8Num19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jc w:val="both"/>
    </w:pPr>
    <w:rPr>
      <w:sz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
    <w:name w:val="Table"/>
    <w:basedOn w:val="Body"/>
    <w:qFormat/>
    <w:pPr>
      <w:tabs>
        <w:tab w:val="decimal" w:pos="3969" w:leader="none"/>
        <w:tab w:val="decimal" w:pos="5103" w:leader="none"/>
        <w:tab w:val="decimal" w:pos="6237" w:leader="none"/>
        <w:tab w:val="decimal" w:pos="7371" w:leader="none"/>
        <w:tab w:val="decimal" w:pos="8505" w:leader="none"/>
        <w:tab w:val="decimal" w:pos="9639" w:leader="none"/>
      </w:tabs>
      <w:ind w:hanging="0" w:start="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2001-09-14T09:45:00Z</dcterms:created>
  <dc:creator>OGaylard</dc:creator>
  <dc:description/>
  <dc:language>en-CA</dc:language>
  <cp:lastModifiedBy>mkass</cp:lastModifiedBy>
  <cp:lastPrinted>2001-09-07T14:28:00Z</cp:lastPrinted>
  <dcterms:modified xsi:type="dcterms:W3CDTF">2001-09-14T09:48:00Z</dcterms:modified>
  <cp:revision>3</cp:revision>
  <dc:subject>Tractebel Meeting</dc:subject>
  <dc:title> </dc:title>
</cp:coreProperties>
</file>