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0"/>
        </w:rPr>
      </w:pPr>
      <w:r>
        <w:rPr>
          <w:rFonts w:eastAsia="Arial"/>
          <w:sz w:val="20"/>
        </w:rPr>
        <w:t xml:space="preserve">      </w:t>
      </w:r>
      <w:r>
        <w:rPr>
          <w:sz w:val="20"/>
        </w:rPr>
        <w:drawing>
          <wp:inline distT="0" distB="0" distL="0" distR="0">
            <wp:extent cx="1099820" cy="112776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99820" cy="1127760"/>
                    </a:xfrm>
                    <a:prstGeom prst="rect">
                      <a:avLst/>
                    </a:prstGeom>
                    <a:noFill/>
                  </pic:spPr>
                </pic:pic>
              </a:graphicData>
            </a:graphic>
          </wp:inline>
        </w:drawing>
      </w:r>
    </w:p>
    <w:p>
      <w:pPr>
        <w:pStyle w:val="Heading"/>
        <w:rPr>
          <w:rFonts w:ascii="Arial Black" w:hAnsi="Arial Black" w:cs="Arial Black"/>
          <w:sz w:val="16"/>
        </w:rPr>
      </w:pPr>
      <w:r>
        <w:rPr>
          <w:rFonts w:cs="Arial Black" w:ascii="Arial Black" w:hAnsi="Arial Black"/>
          <w:sz w:val="16"/>
        </w:rPr>
        <w:t>Natural Gas</w:t>
      </w:r>
    </w:p>
    <w:p>
      <w:pPr>
        <w:pStyle w:val="Heading"/>
        <w:rPr>
          <w:rFonts w:ascii="Arial Black" w:hAnsi="Arial Black" w:cs="Arial Black"/>
          <w:sz w:val="16"/>
        </w:rPr>
      </w:pPr>
      <w:r>
        <w:rPr>
          <w:rFonts w:cs="Arial Black" w:ascii="Arial Black" w:hAnsi="Arial Black"/>
          <w:sz w:val="16"/>
        </w:rPr>
        <w:t>Electricity and</w:t>
      </w:r>
    </w:p>
    <w:p>
      <w:pPr>
        <w:pStyle w:val="Normal"/>
        <w:rPr>
          <w:b/>
          <w:sz w:val="32"/>
          <w:u w:val="single"/>
        </w:rPr>
      </w:pPr>
      <w:r>
        <w:rPr>
          <w:rFonts w:cs="Arial Black" w:ascii="Arial Black" w:hAnsi="Arial Black"/>
          <w:b/>
          <w:sz w:val="16"/>
        </w:rPr>
        <w:t>Endless Possibilities</w:t>
        <w:tab/>
        <w:tab/>
        <w:tab/>
        <w:tab/>
        <w:tab/>
        <w:tab/>
        <w:tab/>
      </w:r>
    </w:p>
    <w:p>
      <w:pPr>
        <w:pStyle w:val="Normal"/>
        <w:ind w:start="6390" w:end="0"/>
        <w:rPr>
          <w:b/>
          <w:sz w:val="20"/>
          <w:u w:val="single"/>
        </w:rPr>
      </w:pPr>
      <w:r>
        <w:rPr>
          <w:b/>
          <w:sz w:val="20"/>
          <w:u w:val="single"/>
        </w:rPr>
      </w:r>
    </w:p>
    <w:tbl>
      <w:tblPr>
        <w:tblW w:w="9828" w:type="dxa"/>
        <w:jc w:val="start"/>
        <w:tblInd w:w="0" w:type="dxa"/>
        <w:tblLayout w:type="fixed"/>
        <w:tblCellMar>
          <w:top w:w="0" w:type="dxa"/>
          <w:start w:w="108" w:type="dxa"/>
          <w:bottom w:w="0" w:type="dxa"/>
          <w:end w:w="108" w:type="dxa"/>
        </w:tblCellMar>
      </w:tblPr>
      <w:tblGrid>
        <w:gridCol w:w="1569"/>
        <w:gridCol w:w="3762"/>
        <w:gridCol w:w="1887"/>
        <w:gridCol w:w="261"/>
        <w:gridCol w:w="2169"/>
        <w:gridCol w:w="180"/>
      </w:tblGrid>
      <w:tr>
        <w:trPr/>
        <w:tc>
          <w:tcPr>
            <w:tcW w:w="1569" w:type="dxa"/>
            <w:tcBorders/>
          </w:tcPr>
          <w:p>
            <w:pPr>
              <w:pStyle w:val="Normal"/>
              <w:rPr>
                <w:b/>
              </w:rPr>
            </w:pPr>
            <w:r>
              <w:rPr>
                <w:b/>
              </w:rPr>
              <w:t>TO:</w:t>
            </w:r>
          </w:p>
        </w:tc>
        <w:tc>
          <w:tcPr>
            <w:tcW w:w="3762" w:type="dxa"/>
            <w:tcBorders/>
          </w:tcPr>
          <w:p>
            <w:pPr>
              <w:pStyle w:val="Normal"/>
              <w:rPr/>
            </w:pPr>
            <w:r>
              <w:rPr/>
              <w:t>Mark Haedicke</w:t>
            </w:r>
          </w:p>
          <w:p>
            <w:pPr>
              <w:pStyle w:val="Normal"/>
              <w:rPr/>
            </w:pPr>
            <w:r>
              <w:rPr/>
              <w:t>Lance Schuler</w:t>
            </w:r>
          </w:p>
          <w:p>
            <w:pPr>
              <w:pStyle w:val="Normal"/>
              <w:rPr/>
            </w:pPr>
            <w:r>
              <w:rPr/>
            </w:r>
          </w:p>
        </w:tc>
        <w:tc>
          <w:tcPr>
            <w:tcW w:w="2148" w:type="dxa"/>
            <w:gridSpan w:val="2"/>
            <w:tcBorders/>
          </w:tcPr>
          <w:p>
            <w:pPr>
              <w:pStyle w:val="Normal"/>
              <w:snapToGrid w:val="false"/>
              <w:rPr/>
            </w:pPr>
            <w:r>
              <w:rPr/>
            </w:r>
          </w:p>
        </w:tc>
        <w:tc>
          <w:tcPr>
            <w:tcW w:w="2169" w:type="dxa"/>
            <w:tcBorders/>
          </w:tcPr>
          <w:p>
            <w:pPr>
              <w:pStyle w:val="Normal"/>
              <w:snapToGrid w:val="false"/>
              <w:rPr/>
            </w:pPr>
            <w:r>
              <w:rPr/>
            </w:r>
          </w:p>
        </w:tc>
        <w:tc>
          <w:tcPr>
            <w:tcW w:w="180" w:type="dxa"/>
            <w:tcBorders/>
            <w:tcMar>
              <w:start w:w="0" w:type="dxa"/>
              <w:end w:w="0" w:type="dxa"/>
            </w:tcMar>
          </w:tcPr>
          <w:p>
            <w:pPr>
              <w:pStyle w:val="Normal"/>
              <w:snapToGrid w:val="false"/>
              <w:rPr/>
            </w:pPr>
            <w:r>
              <w:rPr/>
            </w:r>
          </w:p>
        </w:tc>
      </w:tr>
      <w:tr>
        <w:trPr/>
        <w:tc>
          <w:tcPr>
            <w:tcW w:w="1569" w:type="dxa"/>
            <w:tcBorders/>
          </w:tcPr>
          <w:p>
            <w:pPr>
              <w:pStyle w:val="Normal"/>
              <w:rPr>
                <w:b/>
              </w:rPr>
            </w:pPr>
            <w:r>
              <w:rPr>
                <w:b/>
              </w:rPr>
              <w:t>FROM:</w:t>
            </w:r>
          </w:p>
        </w:tc>
        <w:tc>
          <w:tcPr>
            <w:tcW w:w="3762" w:type="dxa"/>
            <w:tcBorders/>
          </w:tcPr>
          <w:p>
            <w:pPr>
              <w:pStyle w:val="Normal"/>
              <w:rPr/>
            </w:pPr>
            <w:r>
              <w:rPr/>
              <w:t>Robert George</w:t>
            </w:r>
          </w:p>
        </w:tc>
        <w:tc>
          <w:tcPr>
            <w:tcW w:w="2148" w:type="dxa"/>
            <w:gridSpan w:val="2"/>
            <w:tcBorders/>
          </w:tcPr>
          <w:p>
            <w:pPr>
              <w:pStyle w:val="Normal"/>
              <w:rPr>
                <w:b/>
              </w:rPr>
            </w:pPr>
            <w:r>
              <w:rPr>
                <w:b/>
              </w:rPr>
              <w:t>DEPARTMENT:</w:t>
            </w:r>
          </w:p>
        </w:tc>
        <w:tc>
          <w:tcPr>
            <w:tcW w:w="2169" w:type="dxa"/>
            <w:tcBorders/>
          </w:tcPr>
          <w:p>
            <w:pPr>
              <w:pStyle w:val="Normal"/>
              <w:rPr/>
            </w:pPr>
            <w:r>
              <w:rPr/>
              <w:t>ENA Legal</w:t>
            </w:r>
          </w:p>
        </w:tc>
        <w:tc>
          <w:tcPr>
            <w:tcW w:w="180" w:type="dxa"/>
            <w:tcBorders/>
            <w:tcMar>
              <w:start w:w="0" w:type="dxa"/>
              <w:end w:w="0" w:type="dxa"/>
            </w:tcMar>
          </w:tcPr>
          <w:p>
            <w:pPr>
              <w:pStyle w:val="Normal"/>
              <w:snapToGrid w:val="false"/>
              <w:rPr/>
            </w:pPr>
            <w:r>
              <w:rPr/>
            </w:r>
          </w:p>
        </w:tc>
      </w:tr>
      <w:tr>
        <w:trPr/>
        <w:tc>
          <w:tcPr>
            <w:tcW w:w="1569" w:type="dxa"/>
            <w:tcBorders/>
          </w:tcPr>
          <w:p>
            <w:pPr>
              <w:pStyle w:val="Normal"/>
              <w:snapToGrid w:val="false"/>
              <w:rPr>
                <w:b/>
              </w:rPr>
            </w:pPr>
            <w:r>
              <w:rPr>
                <w:b/>
              </w:rPr>
            </w:r>
          </w:p>
        </w:tc>
        <w:tc>
          <w:tcPr>
            <w:tcW w:w="3762" w:type="dxa"/>
            <w:tcBorders/>
          </w:tcPr>
          <w:p>
            <w:pPr>
              <w:pStyle w:val="Normal"/>
              <w:snapToGrid w:val="false"/>
              <w:rPr>
                <w:b/>
              </w:rPr>
            </w:pPr>
            <w:r>
              <w:rPr>
                <w:b/>
              </w:rPr>
            </w:r>
          </w:p>
        </w:tc>
        <w:tc>
          <w:tcPr>
            <w:tcW w:w="2148" w:type="dxa"/>
            <w:gridSpan w:val="2"/>
            <w:tcBorders/>
          </w:tcPr>
          <w:p>
            <w:pPr>
              <w:pStyle w:val="Normal"/>
              <w:snapToGrid w:val="false"/>
              <w:rPr>
                <w:b/>
              </w:rPr>
            </w:pPr>
            <w:r>
              <w:rPr>
                <w:b/>
              </w:rPr>
            </w:r>
          </w:p>
        </w:tc>
        <w:tc>
          <w:tcPr>
            <w:tcW w:w="2169" w:type="dxa"/>
            <w:tcBorders/>
          </w:tcPr>
          <w:p>
            <w:pPr>
              <w:pStyle w:val="Normal"/>
              <w:snapToGrid w:val="false"/>
              <w:rPr>
                <w:b/>
              </w:rPr>
            </w:pPr>
            <w:r>
              <w:rPr>
                <w:b/>
              </w:rPr>
            </w:r>
          </w:p>
        </w:tc>
        <w:tc>
          <w:tcPr>
            <w:tcW w:w="180" w:type="dxa"/>
            <w:tcBorders/>
            <w:tcMar>
              <w:start w:w="0" w:type="dxa"/>
              <w:end w:w="0" w:type="dxa"/>
            </w:tcMar>
          </w:tcPr>
          <w:p>
            <w:pPr>
              <w:pStyle w:val="Normal"/>
              <w:snapToGrid w:val="false"/>
              <w:rPr/>
            </w:pPr>
            <w:r>
              <w:rPr/>
            </w:r>
          </w:p>
        </w:tc>
      </w:tr>
      <w:tr>
        <w:trPr/>
        <w:tc>
          <w:tcPr>
            <w:tcW w:w="1569" w:type="dxa"/>
            <w:tcBorders>
              <w:bottom w:val="single" w:sz="18" w:space="0" w:color="000000"/>
            </w:tcBorders>
          </w:tcPr>
          <w:p>
            <w:pPr>
              <w:pStyle w:val="Normal"/>
              <w:rPr>
                <w:b/>
              </w:rPr>
            </w:pPr>
            <w:r>
              <w:rPr>
                <w:b/>
              </w:rPr>
              <w:t>SUBJECT:</w:t>
            </w:r>
          </w:p>
        </w:tc>
        <w:tc>
          <w:tcPr>
            <w:tcW w:w="3762" w:type="dxa"/>
            <w:tcBorders>
              <w:bottom w:val="single" w:sz="18" w:space="0" w:color="000000"/>
            </w:tcBorders>
          </w:tcPr>
          <w:p>
            <w:pPr>
              <w:pStyle w:val="Normal"/>
              <w:rPr/>
            </w:pPr>
            <w:r>
              <w:rPr/>
              <w:t>Staged Sale of Restricted ADRs in COPEL</w:t>
            </w:r>
          </w:p>
          <w:p>
            <w:pPr>
              <w:pStyle w:val="Normal"/>
              <w:rPr/>
            </w:pPr>
            <w:r>
              <w:rPr/>
            </w:r>
          </w:p>
        </w:tc>
        <w:tc>
          <w:tcPr>
            <w:tcW w:w="1887" w:type="dxa"/>
            <w:tcBorders>
              <w:bottom w:val="single" w:sz="18" w:space="0" w:color="000000"/>
            </w:tcBorders>
          </w:tcPr>
          <w:p>
            <w:pPr>
              <w:pStyle w:val="Normal"/>
              <w:rPr>
                <w:b/>
              </w:rPr>
            </w:pPr>
            <w:r>
              <w:rPr>
                <w:b/>
              </w:rPr>
              <w:t>DATE:</w:t>
            </w:r>
          </w:p>
        </w:tc>
        <w:tc>
          <w:tcPr>
            <w:tcW w:w="2610" w:type="dxa"/>
            <w:gridSpan w:val="3"/>
            <w:tcBorders>
              <w:bottom w:val="single" w:sz="18" w:space="0" w:color="000000"/>
            </w:tcBorders>
          </w:tcPr>
          <w:p>
            <w:pPr>
              <w:pStyle w:val="Normal"/>
              <w:rPr/>
            </w:pPr>
            <w:r>
              <w:rPr/>
              <w:t>May 9, 2001</w:t>
            </w:r>
          </w:p>
        </w:tc>
      </w:tr>
    </w:tbl>
    <w:p>
      <w:pPr>
        <w:pStyle w:val="Normal"/>
        <w:tabs>
          <w:tab w:val="left" w:pos="540" w:leader="none"/>
          <w:tab w:val="left" w:pos="1344" w:leader="none"/>
          <w:tab w:val="left" w:pos="5106" w:leader="none"/>
          <w:tab w:val="left" w:pos="7254" w:leader="none"/>
        </w:tabs>
        <w:jc w:val="both"/>
        <w:rPr/>
      </w:pPr>
      <w:r>
        <w:rPr/>
      </w:r>
    </w:p>
    <w:p>
      <w:pPr>
        <w:pStyle w:val="Normal"/>
        <w:tabs>
          <w:tab w:val="left" w:pos="540" w:leader="none"/>
          <w:tab w:val="left" w:pos="1344" w:leader="none"/>
          <w:tab w:val="left" w:pos="5106" w:leader="none"/>
          <w:tab w:val="left" w:pos="7254" w:leader="none"/>
        </w:tabs>
        <w:jc w:val="both"/>
        <w:rPr>
          <w:sz w:val="22"/>
        </w:rPr>
      </w:pPr>
      <w:r>
        <w:rPr>
          <w:sz w:val="22"/>
        </w:rPr>
      </w:r>
    </w:p>
    <w:p>
      <w:pPr>
        <w:pStyle w:val="Normal"/>
        <w:tabs>
          <w:tab w:val="left" w:pos="540" w:leader="none"/>
          <w:tab w:val="left" w:pos="1344" w:leader="none"/>
          <w:tab w:val="left" w:pos="5106" w:leader="none"/>
          <w:tab w:val="left" w:pos="7254" w:leader="none"/>
        </w:tabs>
        <w:jc w:val="both"/>
        <w:rPr>
          <w:b/>
          <w:bCs/>
          <w:sz w:val="22"/>
        </w:rPr>
      </w:pPr>
      <w:r>
        <w:rPr>
          <w:b/>
          <w:bCs/>
          <w:sz w:val="22"/>
        </w:rPr>
        <w:t>Legal Risk Rating = 2 (on a scale of 1 to 5, with 5 representing the greatest degree of risk)</w:t>
      </w:r>
    </w:p>
    <w:p>
      <w:pPr>
        <w:pStyle w:val="Normal"/>
        <w:tabs>
          <w:tab w:val="left" w:pos="540" w:leader="none"/>
          <w:tab w:val="left" w:pos="1344" w:leader="none"/>
          <w:tab w:val="left" w:pos="5106" w:leader="none"/>
          <w:tab w:val="left" w:pos="7254" w:leader="none"/>
        </w:tabs>
        <w:jc w:val="both"/>
        <w:rPr>
          <w:b/>
          <w:bCs/>
          <w:sz w:val="22"/>
        </w:rPr>
      </w:pPr>
      <w:r>
        <w:rPr>
          <w:b/>
          <w:bCs/>
          <w:sz w:val="22"/>
        </w:rPr>
      </w:r>
    </w:p>
    <w:p>
      <w:pPr>
        <w:pStyle w:val="BodyText"/>
        <w:rPr>
          <w:sz w:val="22"/>
        </w:rPr>
      </w:pPr>
      <w:r>
        <w:rPr>
          <w:sz w:val="22"/>
        </w:rPr>
        <w:t>Much like it did back in late January and early February of this year, Brazil Energy Holdings Ltd., a wholly-owned subsidiary of Enron South America LLC (“BEH”), intends to instruct Morgan Stanley Dean Witter to act as its broker for a possible sale of up to 1,270,000 American Depositary Shares (the “ADSs”) in Companhia Paranaense de Energia – COPEL (“COPEL”).  COPEL is an intergrated utility with both generation and distribution assets serving the Brazilian State of Parana.  The ADSs which are the subject of this proposed transaction are a small part of over 15 million ADSs originally acquired on June 24, 1999 by a subsidiary of BEH as part of a strategy involving, among other things, the expected privatization of COPEL.  Because the ADSs were originally acquired from a seller that was arguably an affiliate of the issuer, the depositary agent for the ADSs has issued the ADSs as “restricted” securities within the meaning of the Securities Act of 1933.  The proposed sale of these ADSs is designed to take advantage of the exemptions under Rule 144 so that these securities can be sold across the New York Stock Exchange as “unrestricted” securities.  Among other things, Rule 144 will require BEH to file a Form 144 with the SEC and the NYSE concurrently with the placing of its order to sell any part of the ADSs, which form is publicly available.</w:t>
      </w:r>
    </w:p>
    <w:p>
      <w:pPr>
        <w:pStyle w:val="BodyText"/>
        <w:rPr>
          <w:sz w:val="22"/>
        </w:rPr>
      </w:pPr>
      <w:r>
        <w:rPr>
          <w:sz w:val="22"/>
        </w:rPr>
      </w:r>
    </w:p>
    <w:p>
      <w:pPr>
        <w:pStyle w:val="BodyText"/>
        <w:rPr>
          <w:sz w:val="22"/>
        </w:rPr>
      </w:pPr>
      <w:r>
        <w:rPr>
          <w:sz w:val="22"/>
        </w:rPr>
        <w:t>As it did in the prior sale, the first part of this transaction would involve the sale of 1,270,000 ADSs within the 3-month window allowed by Rule 144.  After the expiration of the two year holding requirement under Rule 144 (expected on June 26, 2001), the volume limits under Rule 144 would no longer apply.  Accordingly, BEH and its sister Cayman Island corporation would then instruct their broker to execute trades at market prices for all of the remaining 14,173,600 ADSs held by the two companies at that time.</w:t>
      </w:r>
    </w:p>
    <w:p>
      <w:pPr>
        <w:pStyle w:val="Normal"/>
        <w:tabs>
          <w:tab w:val="left" w:pos="540" w:leader="none"/>
          <w:tab w:val="left" w:pos="1344" w:leader="none"/>
          <w:tab w:val="left" w:pos="5106" w:leader="none"/>
          <w:tab w:val="left" w:pos="7254" w:leader="none"/>
        </w:tabs>
        <w:jc w:val="both"/>
        <w:rPr>
          <w:sz w:val="22"/>
        </w:rPr>
      </w:pPr>
      <w:r>
        <w:rPr>
          <w:sz w:val="22"/>
        </w:rPr>
      </w:r>
    </w:p>
    <w:p>
      <w:pPr>
        <w:pStyle w:val="Normal"/>
        <w:tabs>
          <w:tab w:val="left" w:pos="540" w:leader="none"/>
          <w:tab w:val="left" w:pos="1344" w:leader="none"/>
          <w:tab w:val="left" w:pos="5106" w:leader="none"/>
          <w:tab w:val="left" w:pos="7254" w:leader="none"/>
        </w:tabs>
        <w:jc w:val="both"/>
        <w:rPr>
          <w:sz w:val="22"/>
        </w:rPr>
      </w:pPr>
      <w:r>
        <w:rPr>
          <w:sz w:val="22"/>
        </w:rPr>
        <w:t xml:space="preserve">The legal risks associated with this transaction are as follows: </w:t>
      </w:r>
    </w:p>
    <w:p>
      <w:pPr>
        <w:pStyle w:val="Normal"/>
        <w:tabs>
          <w:tab w:val="left" w:pos="540" w:leader="none"/>
          <w:tab w:val="left" w:pos="1344" w:leader="none"/>
          <w:tab w:val="left" w:pos="5106" w:leader="none"/>
          <w:tab w:val="left" w:pos="7254" w:leader="none"/>
        </w:tabs>
        <w:jc w:val="both"/>
        <w:rPr>
          <w:sz w:val="22"/>
        </w:rPr>
      </w:pPr>
      <w:r>
        <w:rPr>
          <w:sz w:val="22"/>
        </w:rPr>
      </w:r>
    </w:p>
    <w:p>
      <w:pPr>
        <w:pStyle w:val="Normal"/>
        <w:tabs>
          <w:tab w:val="left" w:pos="540" w:leader="none"/>
          <w:tab w:val="left" w:pos="1344" w:leader="none"/>
          <w:tab w:val="left" w:pos="5106" w:leader="none"/>
          <w:tab w:val="left" w:pos="7254" w:leader="none"/>
        </w:tabs>
        <w:jc w:val="both"/>
        <w:rPr/>
      </w:pPr>
      <w:r>
        <w:rPr>
          <w:sz w:val="22"/>
        </w:rPr>
        <w:t>1.</w:t>
        <w:tab/>
      </w:r>
      <w:r>
        <w:rPr>
          <w:sz w:val="22"/>
          <w:u w:val="single"/>
        </w:rPr>
        <w:t>Rule 144 Compliance</w:t>
      </w:r>
      <w:r>
        <w:rPr>
          <w:sz w:val="22"/>
        </w:rPr>
        <w:t xml:space="preserve">.  In order to satisfy the depositary agent’s requirements, Enron is obtaining a legal opinion from outside counsel for the benefit of the depositary agent stating that the proposed transaction satisfies the requirements of Rule 144.  Of course, in order to obtain this opinion, both BEH, its sister company and subsidiary will be making representations to both outside counsel and Morgan Stanley Dean Witter that include, among other things, statements regarding the absence of any underwriting intentions on Enron’s part, the absence of any affiliation with the issuer, and the absence of any other sales of the securities by Enron that would exceed the Rule 144 volume limitations.  All of these representations, however, are typical representations that would be required in a typical sale of restricted securities. </w:t>
      </w:r>
    </w:p>
    <w:p>
      <w:pPr>
        <w:pStyle w:val="Normal"/>
        <w:tabs>
          <w:tab w:val="left" w:pos="540" w:leader="none"/>
          <w:tab w:val="left" w:pos="1344" w:leader="none"/>
          <w:tab w:val="left" w:pos="5106" w:leader="none"/>
          <w:tab w:val="left" w:pos="7254" w:leader="none"/>
        </w:tabs>
        <w:jc w:val="both"/>
        <w:rPr>
          <w:sz w:val="22"/>
        </w:rPr>
      </w:pPr>
      <w:r>
        <w:rPr>
          <w:sz w:val="22"/>
        </w:rPr>
      </w:r>
    </w:p>
    <w:p>
      <w:pPr>
        <w:pStyle w:val="Normal"/>
        <w:numPr>
          <w:ilvl w:val="0"/>
          <w:numId w:val="2"/>
        </w:numPr>
        <w:tabs>
          <w:tab w:val="left" w:pos="0" w:leader="none"/>
          <w:tab w:val="left" w:pos="540" w:leader="none"/>
          <w:tab w:val="left" w:pos="1344" w:leader="none"/>
          <w:tab w:val="left" w:pos="5106" w:leader="none"/>
          <w:tab w:val="left" w:pos="7254" w:leader="none"/>
        </w:tabs>
        <w:ind w:hanging="0" w:start="0" w:end="0"/>
        <w:jc w:val="both"/>
        <w:rPr>
          <w:sz w:val="22"/>
        </w:rPr>
      </w:pPr>
      <w:r>
        <w:rPr>
          <w:sz w:val="22"/>
          <w:u w:val="single"/>
        </w:rPr>
        <w:t>Insider Trading</w:t>
      </w:r>
      <w:r>
        <w:rPr>
          <w:sz w:val="22"/>
        </w:rPr>
        <w:t xml:space="preserve">.  In order to document that these sales are taking place without the misuse of any material insider information, senior management in the region, as well as other regional personnel involved in the sale process, are confirming in writing the absence of any material insider information regarding COPEL.  </w:t>
      </w:r>
    </w:p>
    <w:p>
      <w:pPr>
        <w:pStyle w:val="Normal"/>
        <w:tabs>
          <w:tab w:val="clear" w:pos="540"/>
          <w:tab w:val="left" w:pos="1344" w:leader="none"/>
          <w:tab w:val="left" w:pos="5106" w:leader="none"/>
          <w:tab w:val="left" w:pos="7254" w:leader="none"/>
        </w:tabs>
        <w:jc w:val="both"/>
        <w:rPr>
          <w:sz w:val="22"/>
        </w:rPr>
      </w:pPr>
      <w:r>
        <w:rPr>
          <w:sz w:val="22"/>
        </w:rPr>
      </w:r>
    </w:p>
    <w:p>
      <w:pPr>
        <w:pStyle w:val="Normal"/>
        <w:numPr>
          <w:ilvl w:val="0"/>
          <w:numId w:val="2"/>
        </w:numPr>
        <w:tabs>
          <w:tab w:val="left" w:pos="0" w:leader="none"/>
          <w:tab w:val="left" w:pos="540" w:leader="none"/>
          <w:tab w:val="left" w:pos="1344" w:leader="none"/>
          <w:tab w:val="left" w:pos="5106" w:leader="none"/>
          <w:tab w:val="left" w:pos="7254" w:leader="none"/>
        </w:tabs>
        <w:ind w:hanging="0" w:start="0" w:end="0"/>
        <w:jc w:val="both"/>
        <w:rPr>
          <w:sz w:val="22"/>
        </w:rPr>
      </w:pPr>
      <w:r>
        <w:rPr>
          <w:sz w:val="22"/>
          <w:u w:val="single"/>
        </w:rPr>
        <w:t>Foreign Country Risks</w:t>
      </w:r>
      <w:r>
        <w:rPr>
          <w:sz w:val="22"/>
        </w:rPr>
        <w:t>.  Although the COPEL ADR program is a relatively typical ADR program, Enron’s participation in the program has involved some unusual aspects.  First, the program was not originally set up to allow for “restricted” securities to participate in the program.  As a result, we had to have the depositary agent and issuer agree to allow our “restricted” securities into the program and have our outside counsel issue opinions, supported by typical certifications from our Brazilian affiliate, in favor of the depositary agent and issuer.  Second, for various tax and trapped-cash reasons, we transferred the shares from our Brazilian affiliate to its Cayman Island parents.  Because this involved the withdrawal of capital from Brazil, we sought and obtained the prior approval of the Brazilian Central Bank.  Our filings and other formal documentation of these transactions were reviewed and approved by our outside counsel and in some cases we even obtained formal legal opinions from our outside counsel where required by another party.</w:t>
      </w:r>
    </w:p>
    <w:p>
      <w:pPr>
        <w:pStyle w:val="Normal"/>
        <w:tabs>
          <w:tab w:val="clear" w:pos="540"/>
          <w:tab w:val="left" w:pos="1344" w:leader="none"/>
          <w:tab w:val="left" w:pos="5106" w:leader="none"/>
          <w:tab w:val="left" w:pos="7254" w:leader="none"/>
        </w:tabs>
        <w:jc w:val="both"/>
        <w:rPr>
          <w:sz w:val="22"/>
          <w:u w:val="single"/>
        </w:rPr>
      </w:pPr>
      <w:r>
        <w:rPr>
          <w:sz w:val="22"/>
          <w:u w:val="single"/>
        </w:rPr>
      </w:r>
    </w:p>
    <w:p>
      <w:pPr>
        <w:pStyle w:val="Normal"/>
        <w:numPr>
          <w:ilvl w:val="0"/>
          <w:numId w:val="2"/>
        </w:numPr>
        <w:tabs>
          <w:tab w:val="left" w:pos="0" w:leader="none"/>
          <w:tab w:val="left" w:pos="540" w:leader="none"/>
          <w:tab w:val="left" w:pos="1344" w:leader="none"/>
          <w:tab w:val="left" w:pos="5106" w:leader="none"/>
          <w:tab w:val="left" w:pos="7254" w:leader="none"/>
        </w:tabs>
        <w:ind w:hanging="0" w:start="0" w:end="0"/>
        <w:jc w:val="both"/>
        <w:rPr>
          <w:sz w:val="22"/>
        </w:rPr>
      </w:pPr>
      <w:r>
        <w:rPr>
          <w:sz w:val="22"/>
          <w:u w:val="single"/>
        </w:rPr>
        <w:t>Other Restrictions</w:t>
      </w:r>
      <w:r>
        <w:rPr>
          <w:sz w:val="22"/>
        </w:rPr>
        <w:t>.  These ADSs were originally acquired as part of a public auction and as a consequence do not have any contractual restrictions often typical of privately acquired securities.</w:t>
      </w:r>
    </w:p>
    <w:p>
      <w:pPr>
        <w:pStyle w:val="Normal"/>
        <w:tabs>
          <w:tab w:val="left" w:pos="540" w:leader="none"/>
          <w:tab w:val="left" w:pos="1344" w:leader="none"/>
          <w:tab w:val="left" w:pos="5106" w:leader="none"/>
          <w:tab w:val="left" w:pos="7254" w:leader="none"/>
        </w:tabs>
        <w:jc w:val="both"/>
        <w:rPr>
          <w:sz w:val="22"/>
        </w:rPr>
      </w:pPr>
      <w:r>
        <w:rPr>
          <w:sz w:val="22"/>
        </w:rPr>
      </w:r>
    </w:p>
    <w:p>
      <w:pPr>
        <w:pStyle w:val="Normal"/>
        <w:tabs>
          <w:tab w:val="left" w:pos="540" w:leader="none"/>
          <w:tab w:val="left" w:pos="1344" w:leader="none"/>
          <w:tab w:val="left" w:pos="5106" w:leader="none"/>
          <w:tab w:val="left" w:pos="7254" w:leader="none"/>
        </w:tabs>
        <w:jc w:val="both"/>
        <w:rPr>
          <w:sz w:val="22"/>
        </w:rPr>
      </w:pPr>
      <w:r>
        <w:rPr>
          <w:sz w:val="22"/>
        </w:rPr>
      </w:r>
    </w:p>
    <w:p>
      <w:pPr>
        <w:pStyle w:val="Normal"/>
        <w:tabs>
          <w:tab w:val="left" w:pos="540" w:leader="none"/>
          <w:tab w:val="left" w:pos="1344" w:leader="none"/>
          <w:tab w:val="left" w:pos="5106" w:leader="none"/>
          <w:tab w:val="left" w:pos="7254" w:leader="none"/>
        </w:tabs>
        <w:jc w:val="both"/>
        <w:rPr>
          <w:sz w:val="22"/>
        </w:rPr>
      </w:pPr>
      <w:r>
        <w:rPr>
          <w:sz w:val="22"/>
        </w:rPr>
      </w:r>
    </w:p>
    <w:p>
      <w:pPr>
        <w:pStyle w:val="Normal"/>
        <w:tabs>
          <w:tab w:val="left" w:pos="540" w:leader="none"/>
          <w:tab w:val="left" w:pos="1344" w:leader="none"/>
          <w:tab w:val="left" w:pos="5106" w:leader="none"/>
          <w:tab w:val="left" w:pos="7254" w:leader="none"/>
        </w:tabs>
        <w:jc w:val="both"/>
        <w:rPr>
          <w:sz w:val="22"/>
        </w:rPr>
      </w:pPr>
      <w:r>
        <w:rPr>
          <w:sz w:val="22"/>
        </w:rPr>
        <w:t xml:space="preserve">cc:  </w:t>
        <w:tab/>
        <w:t>Orlando Gonzalez</w:t>
      </w:r>
    </w:p>
    <w:p>
      <w:pPr>
        <w:pStyle w:val="Normal"/>
        <w:tabs>
          <w:tab w:val="left" w:pos="540" w:leader="none"/>
          <w:tab w:val="left" w:pos="1344" w:leader="none"/>
          <w:tab w:val="left" w:pos="5106" w:leader="none"/>
          <w:tab w:val="left" w:pos="7254" w:leader="none"/>
        </w:tabs>
        <w:jc w:val="both"/>
        <w:rPr>
          <w:sz w:val="22"/>
        </w:rPr>
      </w:pPr>
      <w:r>
        <w:rPr>
          <w:sz w:val="22"/>
        </w:rPr>
        <w:tab/>
        <w:t>Joe Kishkill</w:t>
      </w:r>
    </w:p>
    <w:p>
      <w:pPr>
        <w:pStyle w:val="Normal"/>
        <w:tabs>
          <w:tab w:val="left" w:pos="540" w:leader="none"/>
          <w:tab w:val="left" w:pos="1344" w:leader="none"/>
          <w:tab w:val="left" w:pos="5106" w:leader="none"/>
          <w:tab w:val="left" w:pos="7254" w:leader="none"/>
        </w:tabs>
        <w:jc w:val="both"/>
        <w:rPr>
          <w:sz w:val="22"/>
        </w:rPr>
      </w:pPr>
      <w:r>
        <w:rPr>
          <w:sz w:val="22"/>
        </w:rPr>
        <w:tab/>
        <w:t>David Gorte</w:t>
      </w:r>
    </w:p>
    <w:p>
      <w:pPr>
        <w:pStyle w:val="Normal"/>
        <w:tabs>
          <w:tab w:val="left" w:pos="540" w:leader="none"/>
          <w:tab w:val="left" w:pos="1344" w:leader="none"/>
          <w:tab w:val="left" w:pos="5106" w:leader="none"/>
          <w:tab w:val="left" w:pos="7254" w:leader="none"/>
        </w:tabs>
        <w:jc w:val="both"/>
        <w:rPr>
          <w:sz w:val="22"/>
        </w:rPr>
      </w:pPr>
      <w:r>
        <w:rPr>
          <w:sz w:val="22"/>
        </w:rPr>
      </w:r>
    </w:p>
    <w:sectPr>
      <w:headerReference w:type="default" r:id="rId3"/>
      <w:headerReference w:type="first" r:id="rId4"/>
      <w:footerReference w:type="default" r:id="rId5"/>
      <w:footerReference w:type="first" r:id="rId6"/>
      <w:type w:val="nextPage"/>
      <w:pgSz w:w="12240" w:h="15840"/>
      <w:pgMar w:left="1152" w:right="1440" w:gutter="0" w:header="1152" w:top="1440" w:footer="720" w:bottom="77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Arial Black">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o:legal/tmccull/mems/CanFibre.doc</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bookmarkStart w:id="0" w:name="StartOfMemo"/>
    <w:bookmarkStart w:id="1" w:name="StartOfMemo"/>
    <w:bookmarkEnd w:id="1"/>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3296285</wp:posOffset>
              </wp:positionH>
              <wp:positionV relativeFrom="paragraph">
                <wp:posOffset>-449580</wp:posOffset>
              </wp:positionV>
              <wp:extent cx="3877310" cy="937260"/>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937260"/>
                      </a:xfrm>
                      <a:prstGeom prst="rect"/>
                      <a:solidFill>
                        <a:srgbClr val="FFFFFF">
                          <a:alpha val="0"/>
                        </a:srgbClr>
                      </a:solidFill>
                    </wps:spPr>
                    <wps:txbx>
                      <w:txbxContent>
                        <w:p>
                          <w:pPr>
                            <w:pStyle w:val="Normal"/>
                            <w:ind w:start="2430" w:end="-915"/>
                            <w:jc w:val="both"/>
                            <w:rPr>
                              <w:rFonts w:ascii="Times New Roman" w:hAnsi="Times New Roman" w:cs="Times New Roman"/>
                              <w:b/>
                              <w:smallCaps/>
                              <w:sz w:val="32"/>
                            </w:rPr>
                          </w:pPr>
                          <w:r>
                            <w:rPr>
                              <w:rFonts w:cs="Times New Roman" w:ascii="Times New Roman" w:hAnsi="Times New Roman"/>
                              <w:b/>
                              <w:smallCaps/>
                              <w:sz w:val="32"/>
                            </w:rPr>
                          </w:r>
                        </w:p>
                        <w:p>
                          <w:pPr>
                            <w:pStyle w:val="Normal"/>
                            <w:ind w:start="2430" w:end="-915"/>
                            <w:jc w:val="both"/>
                            <w:rPr>
                              <w:rFonts w:ascii="Times New Roman" w:hAnsi="Times New Roman" w:cs="Times New Roman"/>
                              <w:b/>
                              <w:smallCaps/>
                              <w:sz w:val="32"/>
                            </w:rPr>
                          </w:pPr>
                          <w:r>
                            <w:rPr>
                              <w:rFonts w:cs="Times New Roman" w:ascii="Times New Roman" w:hAnsi="Times New Roman"/>
                              <w:b/>
                              <w:smallCaps/>
                              <w:sz w:val="32"/>
                            </w:rPr>
                          </w:r>
                        </w:p>
                        <w:p>
                          <w:pPr>
                            <w:pStyle w:val="Normal"/>
                            <w:ind w:start="2430" w:end="-915"/>
                            <w:jc w:val="both"/>
                            <w:rPr>
                              <w:rFonts w:ascii="Times New Roman" w:hAnsi="Times New Roman" w:cs="Times New Roman"/>
                              <w:b/>
                              <w:i/>
                              <w:i/>
                              <w:smallCaps/>
                              <w:sz w:val="32"/>
                              <w:u w:val="single"/>
                            </w:rPr>
                          </w:pPr>
                          <w:r>
                            <w:rPr>
                              <w:rFonts w:cs="Times New Roman" w:ascii="Times New Roman" w:hAnsi="Times New Roman"/>
                              <w:b/>
                              <w:smallCaps/>
                              <w:sz w:val="32"/>
                            </w:rPr>
                            <w:t>privileged and</w:t>
                          </w:r>
                        </w:p>
                        <w:p>
                          <w:pPr>
                            <w:pStyle w:val="Normal"/>
                            <w:ind w:start="2430" w:end="-915"/>
                            <w:jc w:val="both"/>
                            <w:rPr>
                              <w:rFonts w:ascii="Times New Roman" w:hAnsi="Times New Roman" w:cs="Times New Roman"/>
                              <w:b/>
                              <w:i/>
                              <w:i/>
                              <w:smallCaps/>
                              <w:sz w:val="32"/>
                              <w:u w:val="single"/>
                            </w:rPr>
                          </w:pPr>
                          <w:r>
                            <w:rPr>
                              <w:rFonts w:cs="Times New Roman" w:ascii="Times New Roman" w:hAnsi="Times New Roman"/>
                              <w:b/>
                              <w:smallCaps/>
                              <w:sz w:val="32"/>
                            </w:rPr>
                            <w:t>confidential</w:t>
                          </w:r>
                        </w:p>
                      </w:txbxContent>
                    </wps:txbx>
                    <wps:bodyPr anchor="t" lIns="0" tIns="0" rIns="0" bIns="0">
                      <a:noAutofit/>
                    </wps:bodyPr>
                  </wps:wsp>
                </a:graphicData>
              </a:graphic>
            </wp:anchor>
          </w:drawing>
        </mc:Choice>
        <mc:Fallback>
          <w:pict>
            <v:rect fillcolor="#FFFFFF" style="position:absolute;rotation:-0;width:305.3pt;height:73.8pt;mso-wrap-distance-left:9.35pt;mso-wrap-distance-right:9.35pt;mso-wrap-distance-top:0pt;mso-wrap-distance-bottom:0pt;margin-top:-35.4pt;mso-position-vertical-relative:text;margin-left:259.55pt;mso-position-horizontal-relative:page">
              <v:fill opacity="0f"/>
              <v:textbox inset="0in,0in,0in,0in">
                <w:txbxContent>
                  <w:p>
                    <w:pPr>
                      <w:pStyle w:val="Normal"/>
                      <w:ind w:start="2430" w:end="-915"/>
                      <w:jc w:val="both"/>
                      <w:rPr>
                        <w:rFonts w:ascii="Times New Roman" w:hAnsi="Times New Roman" w:cs="Times New Roman"/>
                        <w:b/>
                        <w:smallCaps/>
                        <w:sz w:val="32"/>
                      </w:rPr>
                    </w:pPr>
                    <w:r>
                      <w:rPr>
                        <w:rFonts w:cs="Times New Roman" w:ascii="Times New Roman" w:hAnsi="Times New Roman"/>
                        <w:b/>
                        <w:smallCaps/>
                        <w:sz w:val="32"/>
                      </w:rPr>
                    </w:r>
                  </w:p>
                  <w:p>
                    <w:pPr>
                      <w:pStyle w:val="Normal"/>
                      <w:ind w:start="2430" w:end="-915"/>
                      <w:jc w:val="both"/>
                      <w:rPr>
                        <w:rFonts w:ascii="Times New Roman" w:hAnsi="Times New Roman" w:cs="Times New Roman"/>
                        <w:b/>
                        <w:smallCaps/>
                        <w:sz w:val="32"/>
                      </w:rPr>
                    </w:pPr>
                    <w:r>
                      <w:rPr>
                        <w:rFonts w:cs="Times New Roman" w:ascii="Times New Roman" w:hAnsi="Times New Roman"/>
                        <w:b/>
                        <w:smallCaps/>
                        <w:sz w:val="32"/>
                      </w:rPr>
                    </w:r>
                  </w:p>
                  <w:p>
                    <w:pPr>
                      <w:pStyle w:val="Normal"/>
                      <w:ind w:start="2430" w:end="-915"/>
                      <w:jc w:val="both"/>
                      <w:rPr>
                        <w:rFonts w:ascii="Times New Roman" w:hAnsi="Times New Roman" w:cs="Times New Roman"/>
                        <w:b/>
                        <w:i/>
                        <w:i/>
                        <w:smallCaps/>
                        <w:sz w:val="32"/>
                        <w:u w:val="single"/>
                      </w:rPr>
                    </w:pPr>
                    <w:r>
                      <w:rPr>
                        <w:rFonts w:cs="Times New Roman" w:ascii="Times New Roman" w:hAnsi="Times New Roman"/>
                        <w:b/>
                        <w:smallCaps/>
                        <w:sz w:val="32"/>
                      </w:rPr>
                      <w:t>privileged and</w:t>
                    </w:r>
                  </w:p>
                  <w:p>
                    <w:pPr>
                      <w:pStyle w:val="Normal"/>
                      <w:ind w:start="2430" w:end="-915"/>
                      <w:jc w:val="both"/>
                      <w:rPr>
                        <w:rFonts w:ascii="Times New Roman" w:hAnsi="Times New Roman" w:cs="Times New Roman"/>
                        <w:b/>
                        <w:i/>
                        <w:i/>
                        <w:smallCaps/>
                        <w:sz w:val="32"/>
                        <w:u w:val="single"/>
                      </w:rPr>
                    </w:pPr>
                    <w:r>
                      <w:rPr>
                        <w:rFonts w:cs="Times New Roman" w:ascii="Times New Roman" w:hAnsi="Times New Roman"/>
                        <w:b/>
                        <w:smallCaps/>
                        <w:sz w:val="32"/>
                      </w:rPr>
                      <w:t>confidential</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2"/>
      <w:numFmt w:val="decimal"/>
      <w:lvlText w:val="%1."/>
      <w:lvlJc w:val="start"/>
      <w:pPr>
        <w:tabs>
          <w:tab w:val="num" w:pos="540"/>
        </w:tabs>
        <w:ind w:start="540" w:hanging="54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US" w:bidi="ar-SA" w:eastAsia="zh-C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WW8Num1z0">
    <w:name w:val="WW8Num1z0"/>
    <w:qFormat/>
    <w:rPr/>
  </w:style>
  <w:style w:type="character" w:styleId="WW8Num2z0">
    <w:name w:val="WW8Num2z0"/>
    <w:qFormat/>
    <w:rPr/>
  </w:style>
  <w:style w:type="character" w:styleId="DefaultParagraphFont">
    <w:name w:val="Default Paragraph Font"/>
    <w:qFormat/>
    <w:rPr/>
  </w:style>
  <w:style w:type="paragraph" w:styleId="Heading">
    <w:name w:val="Heading"/>
    <w:basedOn w:val="Normal"/>
    <w:next w:val="BodyText"/>
    <w:qFormat/>
    <w:pPr>
      <w:tabs>
        <w:tab w:val="clear" w:pos="540"/>
      </w:tabs>
    </w:pPr>
    <w:rPr>
      <w:b/>
    </w:rPr>
  </w:style>
  <w:style w:type="paragraph" w:styleId="BodyText">
    <w:name w:val="Body Text"/>
    <w:basedOn w:val="Normal"/>
    <w:pPr>
      <w:tabs>
        <w:tab w:val="left" w:pos="540" w:leader="none"/>
        <w:tab w:val="left" w:pos="1344" w:leader="none"/>
        <w:tab w:val="left" w:pos="5106" w:leader="none"/>
        <w:tab w:val="left" w:pos="7254" w:leader="none"/>
      </w:tabs>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rFonts w:ascii="Arial" w:hAnsi="Arial" w:cs="Arial"/>
      <w:sz w:val="20"/>
    </w:rPr>
  </w:style>
  <w:style w:type="paragraph" w:styleId="Body">
    <w:name w:val="Body"/>
    <w:basedOn w:val="Normal"/>
    <w:qFormat/>
    <w:pPr>
      <w:tabs>
        <w:tab w:val="clear" w:pos="540"/>
      </w:tabs>
      <w:ind w:hanging="0" w:start="72" w:end="0"/>
    </w:pPr>
    <w:rPr>
      <w:rFonts w:ascii="Arial" w:hAnsi="Arial" w:cs="Arial"/>
      <w:color w:val="000080"/>
      <w:sz w:val="20"/>
    </w:rPr>
  </w:style>
  <w:style w:type="paragraph" w:styleId="Department">
    <w:name w:val="Department"/>
    <w:basedOn w:val="Normal"/>
    <w:qFormat/>
    <w:pPr>
      <w:tabs>
        <w:tab w:val="clear" w:pos="540"/>
      </w:tabs>
    </w:pPr>
    <w:rPr>
      <w:sz w:val="20"/>
    </w:rPr>
  </w:style>
  <w:style w:type="paragraph" w:styleId="BodyTextIndent">
    <w:name w:val="Body Text Indent"/>
    <w:basedOn w:val="Normal"/>
    <w:pPr>
      <w:tabs>
        <w:tab w:val="clear" w:pos="540"/>
        <w:tab w:val="left" w:pos="1344" w:leader="none"/>
        <w:tab w:val="left" w:pos="5106" w:leader="none"/>
        <w:tab w:val="left" w:pos="7254" w:leader="none"/>
      </w:tabs>
      <w:ind w:hanging="0" w:start="576" w:end="0"/>
      <w:jc w:val="both"/>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ECTMEMO.DOT</Template>
  <TotalTime>30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2001-05-09T17:01:00Z</dcterms:created>
  <dc:creator>appinst</dc:creator>
  <dc:description/>
  <dc:language>en-CA</dc:language>
  <cp:lastModifiedBy>rgeorge</cp:lastModifiedBy>
  <cp:lastPrinted>2001-05-09T14:43:00Z</cp:lastPrinted>
  <dcterms:modified xsi:type="dcterms:W3CDTF">2001-05-09T19:22:00Z</dcterms:modified>
  <cp:revision>5</cp:revision>
  <dc:subject/>
  <dc:title> </dc:title>
</cp:coreProperties>
</file>