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rFonts w:eastAsia="Arial"/>
          <w:sz w:val="20"/>
        </w:rPr>
        <w:t xml:space="preserve">      </w:t>
      </w: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p>
    <w:p>
      <w:pPr>
        <w:pStyle w:val="Heading"/>
        <w:rPr>
          <w:rFonts w:ascii="Arial Black" w:hAnsi="Arial Black" w:cs="Arial Black"/>
          <w:sz w:val="16"/>
        </w:rPr>
      </w:pPr>
      <w:r>
        <w:rPr>
          <w:rFonts w:cs="Arial Black" w:ascii="Arial Black" w:hAnsi="Arial Black"/>
          <w:sz w:val="16"/>
        </w:rPr>
      </w:r>
    </w:p>
    <w:p>
      <w:pPr>
        <w:pStyle w:val="Normal"/>
        <w:rPr>
          <w:b/>
          <w:sz w:val="32"/>
          <w:u w:val="single"/>
        </w:rPr>
      </w:pPr>
      <w:r>
        <w:rPr>
          <w:rFonts w:cs="Arial Black" w:ascii="Arial Black" w:hAnsi="Arial Black"/>
          <w:b/>
          <w:sz w:val="16"/>
        </w:rPr>
        <w:t>Endless Possibilities</w:t>
        <w:tab/>
        <w:tab/>
        <w:tab/>
        <w:tab/>
        <w:tab/>
        <w:tab/>
        <w:tab/>
      </w:r>
    </w:p>
    <w:p>
      <w:pPr>
        <w:pStyle w:val="Normal"/>
        <w:ind w:start="6390" w:end="0"/>
        <w:rPr>
          <w:b/>
          <w:sz w:val="20"/>
          <w:u w:val="single"/>
        </w:rPr>
      </w:pPr>
      <w:r>
        <w:rPr>
          <w:b/>
          <w:sz w:val="20"/>
          <w:u w:val="single"/>
        </w:rPr>
      </w:r>
    </w:p>
    <w:tbl>
      <w:tblPr>
        <w:tblW w:w="9828" w:type="dxa"/>
        <w:jc w:val="start"/>
        <w:tblInd w:w="0" w:type="dxa"/>
        <w:tblLayout w:type="fixed"/>
        <w:tblCellMar>
          <w:top w:w="0" w:type="dxa"/>
          <w:start w:w="108" w:type="dxa"/>
          <w:bottom w:w="0" w:type="dxa"/>
          <w:end w:w="108" w:type="dxa"/>
        </w:tblCellMar>
      </w:tblPr>
      <w:tblGrid>
        <w:gridCol w:w="1569"/>
        <w:gridCol w:w="3762"/>
        <w:gridCol w:w="1887"/>
        <w:gridCol w:w="261"/>
        <w:gridCol w:w="2169"/>
        <w:gridCol w:w="180"/>
      </w:tblGrid>
      <w:tr>
        <w:trPr/>
        <w:tc>
          <w:tcPr>
            <w:tcW w:w="1569" w:type="dxa"/>
            <w:tcBorders/>
          </w:tcPr>
          <w:p>
            <w:pPr>
              <w:pStyle w:val="Normal"/>
              <w:rPr>
                <w:b/>
              </w:rPr>
            </w:pPr>
            <w:r>
              <w:rPr>
                <w:b/>
              </w:rPr>
              <w:t>TO:</w:t>
            </w:r>
          </w:p>
        </w:tc>
        <w:tc>
          <w:tcPr>
            <w:tcW w:w="3762" w:type="dxa"/>
            <w:tcBorders/>
          </w:tcPr>
          <w:p>
            <w:pPr>
              <w:pStyle w:val="Normal"/>
              <w:rPr/>
            </w:pPr>
            <w:r>
              <w:rPr/>
              <w:t>Mark Haedicke</w:t>
            </w:r>
          </w:p>
          <w:p>
            <w:pPr>
              <w:pStyle w:val="Normal"/>
              <w:rPr/>
            </w:pPr>
            <w:r>
              <w:rPr/>
              <w:t>Lance Schuler</w:t>
            </w:r>
          </w:p>
          <w:p>
            <w:pPr>
              <w:pStyle w:val="Normal"/>
              <w:rPr/>
            </w:pPr>
            <w:r>
              <w:rPr/>
            </w:r>
          </w:p>
        </w:tc>
        <w:tc>
          <w:tcPr>
            <w:tcW w:w="2148" w:type="dxa"/>
            <w:gridSpan w:val="2"/>
            <w:tcBorders/>
          </w:tcPr>
          <w:p>
            <w:pPr>
              <w:pStyle w:val="Normal"/>
              <w:snapToGrid w:val="false"/>
              <w:rPr/>
            </w:pPr>
            <w:r>
              <w:rPr/>
            </w:r>
          </w:p>
        </w:tc>
        <w:tc>
          <w:tcPr>
            <w:tcW w:w="2169" w:type="dxa"/>
            <w:tcBorders/>
          </w:tcPr>
          <w:p>
            <w:pPr>
              <w:pStyle w:val="Normal"/>
              <w:snapToGrid w:val="false"/>
              <w:rPr/>
            </w:pPr>
            <w:r>
              <w:rPr/>
            </w:r>
          </w:p>
        </w:tc>
        <w:tc>
          <w:tcPr>
            <w:tcW w:w="180" w:type="dxa"/>
            <w:tcBorders/>
            <w:tcMar>
              <w:start w:w="0" w:type="dxa"/>
              <w:end w:w="0" w:type="dxa"/>
            </w:tcMar>
          </w:tcPr>
          <w:p>
            <w:pPr>
              <w:pStyle w:val="Normal"/>
              <w:snapToGrid w:val="false"/>
              <w:rPr/>
            </w:pPr>
            <w:r>
              <w:rPr/>
            </w:r>
          </w:p>
        </w:tc>
      </w:tr>
      <w:tr>
        <w:trPr/>
        <w:tc>
          <w:tcPr>
            <w:tcW w:w="1569" w:type="dxa"/>
            <w:tcBorders/>
          </w:tcPr>
          <w:p>
            <w:pPr>
              <w:pStyle w:val="Normal"/>
              <w:rPr>
                <w:b/>
              </w:rPr>
            </w:pPr>
            <w:r>
              <w:rPr>
                <w:b/>
              </w:rPr>
              <w:t>FROM:</w:t>
            </w:r>
          </w:p>
        </w:tc>
        <w:tc>
          <w:tcPr>
            <w:tcW w:w="3762" w:type="dxa"/>
            <w:tcBorders/>
          </w:tcPr>
          <w:p>
            <w:pPr>
              <w:pStyle w:val="Normal"/>
              <w:rPr/>
            </w:pPr>
            <w:r>
              <w:rPr/>
              <w:t>Robert George</w:t>
            </w:r>
          </w:p>
        </w:tc>
        <w:tc>
          <w:tcPr>
            <w:tcW w:w="2148" w:type="dxa"/>
            <w:gridSpan w:val="2"/>
            <w:tcBorders/>
          </w:tcPr>
          <w:p>
            <w:pPr>
              <w:pStyle w:val="Normal"/>
              <w:rPr>
                <w:b/>
              </w:rPr>
            </w:pPr>
            <w:r>
              <w:rPr>
                <w:b/>
              </w:rPr>
              <w:t>DEPARTMENT:</w:t>
            </w:r>
          </w:p>
        </w:tc>
        <w:tc>
          <w:tcPr>
            <w:tcW w:w="2169" w:type="dxa"/>
            <w:tcBorders/>
          </w:tcPr>
          <w:p>
            <w:pPr>
              <w:pStyle w:val="Normal"/>
              <w:rPr/>
            </w:pPr>
            <w:r>
              <w:rPr/>
              <w:t>ENA Legal</w:t>
            </w:r>
          </w:p>
        </w:tc>
        <w:tc>
          <w:tcPr>
            <w:tcW w:w="180" w:type="dxa"/>
            <w:tcBorders/>
            <w:tcMar>
              <w:start w:w="0" w:type="dxa"/>
              <w:end w:w="0" w:type="dxa"/>
            </w:tcMar>
          </w:tcPr>
          <w:p>
            <w:pPr>
              <w:pStyle w:val="Normal"/>
              <w:snapToGrid w:val="false"/>
              <w:rPr/>
            </w:pPr>
            <w:r>
              <w:rPr/>
            </w:r>
          </w:p>
        </w:tc>
      </w:tr>
      <w:tr>
        <w:trPr/>
        <w:tc>
          <w:tcPr>
            <w:tcW w:w="1569" w:type="dxa"/>
            <w:tcBorders/>
          </w:tcPr>
          <w:p>
            <w:pPr>
              <w:pStyle w:val="Normal"/>
              <w:snapToGrid w:val="false"/>
              <w:rPr>
                <w:b/>
              </w:rPr>
            </w:pPr>
            <w:r>
              <w:rPr>
                <w:b/>
              </w:rPr>
            </w:r>
          </w:p>
        </w:tc>
        <w:tc>
          <w:tcPr>
            <w:tcW w:w="3762" w:type="dxa"/>
            <w:tcBorders/>
          </w:tcPr>
          <w:p>
            <w:pPr>
              <w:pStyle w:val="Normal"/>
              <w:snapToGrid w:val="false"/>
              <w:rPr>
                <w:b/>
              </w:rPr>
            </w:pPr>
            <w:r>
              <w:rPr>
                <w:b/>
              </w:rPr>
            </w:r>
          </w:p>
        </w:tc>
        <w:tc>
          <w:tcPr>
            <w:tcW w:w="2148" w:type="dxa"/>
            <w:gridSpan w:val="2"/>
            <w:tcBorders/>
          </w:tcPr>
          <w:p>
            <w:pPr>
              <w:pStyle w:val="Normal"/>
              <w:snapToGrid w:val="false"/>
              <w:rPr>
                <w:b/>
              </w:rPr>
            </w:pPr>
            <w:r>
              <w:rPr>
                <w:b/>
              </w:rPr>
            </w:r>
          </w:p>
        </w:tc>
        <w:tc>
          <w:tcPr>
            <w:tcW w:w="2169" w:type="dxa"/>
            <w:tcBorders/>
          </w:tcPr>
          <w:p>
            <w:pPr>
              <w:pStyle w:val="Normal"/>
              <w:snapToGrid w:val="false"/>
              <w:rPr>
                <w:b/>
              </w:rPr>
            </w:pPr>
            <w:r>
              <w:rPr>
                <w:b/>
              </w:rPr>
            </w:r>
          </w:p>
        </w:tc>
        <w:tc>
          <w:tcPr>
            <w:tcW w:w="180" w:type="dxa"/>
            <w:tcBorders/>
            <w:tcMar>
              <w:start w:w="0" w:type="dxa"/>
              <w:end w:w="0" w:type="dxa"/>
            </w:tcMar>
          </w:tcPr>
          <w:p>
            <w:pPr>
              <w:pStyle w:val="Normal"/>
              <w:snapToGrid w:val="false"/>
              <w:rPr/>
            </w:pPr>
            <w:r>
              <w:rPr/>
            </w:r>
          </w:p>
        </w:tc>
      </w:tr>
      <w:tr>
        <w:trPr/>
        <w:tc>
          <w:tcPr>
            <w:tcW w:w="1569" w:type="dxa"/>
            <w:tcBorders>
              <w:bottom w:val="single" w:sz="18" w:space="0" w:color="000000"/>
            </w:tcBorders>
          </w:tcPr>
          <w:p>
            <w:pPr>
              <w:pStyle w:val="Normal"/>
              <w:rPr>
                <w:b/>
              </w:rPr>
            </w:pPr>
            <w:r>
              <w:rPr>
                <w:b/>
              </w:rPr>
              <w:t>SUBJECT:</w:t>
            </w:r>
          </w:p>
        </w:tc>
        <w:tc>
          <w:tcPr>
            <w:tcW w:w="3762" w:type="dxa"/>
            <w:tcBorders>
              <w:bottom w:val="single" w:sz="18" w:space="0" w:color="000000"/>
            </w:tcBorders>
          </w:tcPr>
          <w:p>
            <w:pPr>
              <w:pStyle w:val="Normal"/>
              <w:rPr/>
            </w:pPr>
            <w:r>
              <w:rPr/>
              <w:t>Sale of New Albany IPP</w:t>
            </w:r>
          </w:p>
          <w:p>
            <w:pPr>
              <w:pStyle w:val="Normal"/>
              <w:rPr/>
            </w:pPr>
            <w:r>
              <w:rPr/>
            </w:r>
          </w:p>
        </w:tc>
        <w:tc>
          <w:tcPr>
            <w:tcW w:w="1887" w:type="dxa"/>
            <w:tcBorders>
              <w:bottom w:val="single" w:sz="18" w:space="0" w:color="000000"/>
            </w:tcBorders>
          </w:tcPr>
          <w:p>
            <w:pPr>
              <w:pStyle w:val="Normal"/>
              <w:rPr>
                <w:b/>
              </w:rPr>
            </w:pPr>
            <w:r>
              <w:rPr>
                <w:b/>
              </w:rPr>
              <w:t>DATE:</w:t>
            </w:r>
          </w:p>
        </w:tc>
        <w:tc>
          <w:tcPr>
            <w:tcW w:w="2610" w:type="dxa"/>
            <w:gridSpan w:val="3"/>
            <w:tcBorders>
              <w:bottom w:val="single" w:sz="18" w:space="0" w:color="000000"/>
            </w:tcBorders>
          </w:tcPr>
          <w:p>
            <w:pPr>
              <w:pStyle w:val="Normal"/>
              <w:rPr/>
            </w:pPr>
            <w:r>
              <w:rPr/>
              <w:t>June 20, 2001</w:t>
            </w:r>
          </w:p>
        </w:tc>
      </w:tr>
    </w:tbl>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b/>
          <w:bCs/>
          <w:sz w:val="22"/>
        </w:rPr>
      </w:pPr>
      <w:r>
        <w:rPr>
          <w:b/>
          <w:bCs/>
          <w:sz w:val="22"/>
        </w:rPr>
        <w:t>Legal Risk Rating 2 =  (on a scale of 1 to 5, with 5 representing the greatest degree of risk)</w:t>
      </w:r>
    </w:p>
    <w:p>
      <w:pPr>
        <w:pStyle w:val="Normal"/>
        <w:tabs>
          <w:tab w:val="left" w:pos="540" w:leader="none"/>
          <w:tab w:val="left" w:pos="1344" w:leader="none"/>
          <w:tab w:val="left" w:pos="5106" w:leader="none"/>
          <w:tab w:val="left" w:pos="7254" w:leader="none"/>
        </w:tabs>
        <w:jc w:val="both"/>
        <w:rPr>
          <w:b/>
          <w:bCs/>
          <w:sz w:val="22"/>
        </w:rPr>
      </w:pPr>
      <w:r>
        <w:rPr>
          <w:b/>
          <w:bCs/>
          <w:sz w:val="22"/>
        </w:rPr>
      </w:r>
    </w:p>
    <w:p>
      <w:pPr>
        <w:pStyle w:val="BodyText"/>
        <w:rPr>
          <w:sz w:val="22"/>
        </w:rPr>
      </w:pPr>
      <w:r>
        <w:rPr>
          <w:sz w:val="22"/>
        </w:rPr>
        <w:t xml:space="preserve">Enron North America Corp. (“ENA”) proposes to sell to Duke Energy North America LLC (“Duke”) 100% of the interest of ENA in a 396 MW natural gas fired “peaking” plant located in Union County, Mississippi (the “Project”).  </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sz w:val="22"/>
        </w:rPr>
      </w:pPr>
      <w:r>
        <w:rPr>
          <w:sz w:val="22"/>
        </w:rPr>
        <w:t xml:space="preserve">The legal risks associated with this transaction are as follows: </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pPr>
      <w:r>
        <w:rPr>
          <w:sz w:val="22"/>
        </w:rPr>
        <w:t>1.</w:t>
        <w:tab/>
      </w:r>
      <w:r>
        <w:rPr>
          <w:sz w:val="22"/>
          <w:u w:val="single"/>
        </w:rPr>
        <w:t>Liabilities to Purchaser</w:t>
      </w:r>
      <w:r>
        <w:rPr>
          <w:sz w:val="22"/>
        </w:rPr>
        <w:t>.  ENA is making typical representations and covenants related to the transaction that would create liabilities if breached.  These representations are in some cases more limited in scope than usual and, in any event, all liabilities under the contract have been capped at approximately 50% of the purchase price.  In addition, there is a threshold of $5,000,000 that has to be reached before ENA has any liability to Duke for virtually all claims under the contract and most claims must be asserted within 558 days after closing.  Finally, most of these provisions have been reviewed extensively by senior Project personnel to confirm ENA’s comfort with the representations.</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numPr>
          <w:ilvl w:val="0"/>
          <w:numId w:val="2"/>
        </w:numPr>
        <w:tabs>
          <w:tab w:val="left" w:pos="0" w:leader="none"/>
          <w:tab w:val="left" w:pos="540" w:leader="none"/>
          <w:tab w:val="left" w:pos="1344" w:leader="none"/>
          <w:tab w:val="left" w:pos="5106" w:leader="none"/>
          <w:tab w:val="left" w:pos="7254" w:leader="none"/>
        </w:tabs>
        <w:ind w:hanging="0" w:start="0" w:end="0"/>
        <w:jc w:val="both"/>
        <w:rPr>
          <w:sz w:val="22"/>
        </w:rPr>
      </w:pPr>
      <w:r>
        <w:rPr>
          <w:sz w:val="22"/>
          <w:u w:val="single"/>
        </w:rPr>
        <w:t>Closing Conditions</w:t>
      </w:r>
      <w:r>
        <w:rPr>
          <w:sz w:val="22"/>
        </w:rPr>
        <w:t xml:space="preserve">.  Closing will require FERC approval and a Hart-Scott Rodino filing.  ENA has reviewed recently the likelihood of Duke’s approval by FERC and the preliminary results appear positive.  The Hart-Scott filing is expected to be merely ministerial.  In addition, however, Duke has conditioned its ability to close on approval of the transaction by the board of directors of Duke Energy Corp.   This approval is scheduled to occur on June 26, 2001 and, if not received, the deal will be short lived. </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numPr>
          <w:ilvl w:val="0"/>
          <w:numId w:val="2"/>
        </w:numPr>
        <w:tabs>
          <w:tab w:val="left" w:pos="0" w:leader="none"/>
          <w:tab w:val="left" w:pos="540" w:leader="none"/>
          <w:tab w:val="left" w:pos="1344" w:leader="none"/>
          <w:tab w:val="left" w:pos="5106" w:leader="none"/>
          <w:tab w:val="left" w:pos="7254" w:leader="none"/>
        </w:tabs>
        <w:ind w:hanging="0" w:start="0" w:end="0"/>
        <w:jc w:val="both"/>
        <w:rPr>
          <w:sz w:val="22"/>
        </w:rPr>
      </w:pPr>
      <w:r>
        <w:rPr>
          <w:sz w:val="22"/>
          <w:u w:val="single"/>
        </w:rPr>
        <w:t>Other Restrictions</w:t>
      </w:r>
      <w:r>
        <w:rPr>
          <w:sz w:val="22"/>
        </w:rPr>
        <w:t>.  ENA has agreed not to shop the Project to other buyers pending the closing or termination of the contract with Duke.  This commitment will go away by October 2, 2001 if ENA does not reasonably believe the FERC and Hart-Scott approvals are imminent.  Moreover, ENA does not expect to shop the asset while under contract with Duke in any event.</w:t>
      </w:r>
    </w:p>
    <w:p>
      <w:pPr>
        <w:pStyle w:val="Normal"/>
        <w:tabs>
          <w:tab w:val="left" w:pos="540" w:leader="none"/>
          <w:tab w:val="left" w:pos="1344" w:leader="none"/>
          <w:tab w:val="left" w:pos="5106" w:leader="none"/>
          <w:tab w:val="left" w:pos="7254" w:leader="none"/>
        </w:tabs>
        <w:jc w:val="both"/>
        <w:rPr>
          <w:sz w:val="22"/>
        </w:rPr>
      </w:pPr>
      <w:r>
        <w:rPr>
          <w:sz w:val="22"/>
        </w:rPr>
      </w:r>
    </w:p>
    <w:p>
      <w:pPr>
        <w:pStyle w:val="Normal"/>
        <w:tabs>
          <w:tab w:val="left" w:pos="540" w:leader="none"/>
          <w:tab w:val="left" w:pos="1344" w:leader="none"/>
          <w:tab w:val="left" w:pos="5106" w:leader="none"/>
          <w:tab w:val="left" w:pos="7254" w:leader="none"/>
        </w:tabs>
        <w:jc w:val="both"/>
        <w:rPr>
          <w:sz w:val="22"/>
        </w:rPr>
      </w:pPr>
      <w:r>
        <w:rPr>
          <w:sz w:val="22"/>
        </w:rPr>
        <w:t xml:space="preserve">cc:  </w:t>
        <w:tab/>
        <w:t>Stuart Zisman</w:t>
      </w:r>
    </w:p>
    <w:p>
      <w:pPr>
        <w:pStyle w:val="Normal"/>
        <w:tabs>
          <w:tab w:val="left" w:pos="540" w:leader="none"/>
          <w:tab w:val="left" w:pos="1344" w:leader="none"/>
          <w:tab w:val="left" w:pos="5106" w:leader="none"/>
          <w:tab w:val="left" w:pos="7254" w:leader="none"/>
        </w:tabs>
        <w:jc w:val="both"/>
        <w:rPr>
          <w:sz w:val="22"/>
        </w:rPr>
      </w:pPr>
      <w:r>
        <w:rPr>
          <w:sz w:val="22"/>
        </w:rPr>
        <w:tab/>
        <w:t>Don Miller</w:t>
      </w:r>
    </w:p>
    <w:p>
      <w:pPr>
        <w:pStyle w:val="Normal"/>
        <w:tabs>
          <w:tab w:val="left" w:pos="540" w:leader="none"/>
          <w:tab w:val="left" w:pos="1344" w:leader="none"/>
          <w:tab w:val="left" w:pos="5106" w:leader="none"/>
          <w:tab w:val="left" w:pos="7254" w:leader="none"/>
        </w:tabs>
        <w:jc w:val="both"/>
        <w:rPr>
          <w:sz w:val="22"/>
        </w:rPr>
      </w:pPr>
      <w:r>
        <w:rPr>
          <w:sz w:val="22"/>
        </w:rPr>
        <w:tab/>
        <w:t>Louise Kitchen</w:t>
      </w:r>
    </w:p>
    <w:p>
      <w:pPr>
        <w:pStyle w:val="Normal"/>
        <w:tabs>
          <w:tab w:val="left" w:pos="540" w:leader="none"/>
          <w:tab w:val="left" w:pos="1344" w:leader="none"/>
          <w:tab w:val="left" w:pos="5106" w:leader="none"/>
          <w:tab w:val="left" w:pos="7254" w:leader="none"/>
        </w:tabs>
        <w:jc w:val="both"/>
        <w:rPr>
          <w:sz w:val="22"/>
        </w:rPr>
      </w:pPr>
      <w:r>
        <w:rPr>
          <w:sz w:val="22"/>
        </w:rPr>
        <w:tab/>
        <w:t>John Lavorato</w:t>
      </w:r>
    </w:p>
    <w:p>
      <w:pPr>
        <w:pStyle w:val="Normal"/>
        <w:tabs>
          <w:tab w:val="left" w:pos="540" w:leader="none"/>
          <w:tab w:val="left" w:pos="1344" w:leader="none"/>
          <w:tab w:val="left" w:pos="5106" w:leader="none"/>
          <w:tab w:val="left" w:pos="7254" w:leader="none"/>
        </w:tabs>
        <w:jc w:val="both"/>
        <w:rPr>
          <w:sz w:val="22"/>
        </w:rPr>
      </w:pPr>
      <w:r>
        <w:rPr>
          <w:sz w:val="22"/>
        </w:rPr>
        <w:tab/>
        <w:t>Mark Frevert</w:t>
      </w:r>
    </w:p>
    <w:p>
      <w:pPr>
        <w:pStyle w:val="Normal"/>
        <w:tabs>
          <w:tab w:val="left" w:pos="540" w:leader="none"/>
          <w:tab w:val="left" w:pos="1344" w:leader="none"/>
          <w:tab w:val="left" w:pos="5106" w:leader="none"/>
          <w:tab w:val="left" w:pos="7254" w:leader="none"/>
        </w:tabs>
        <w:jc w:val="both"/>
        <w:rPr>
          <w:sz w:val="22"/>
        </w:rPr>
      </w:pPr>
      <w:r>
        <w:rPr>
          <w:sz w:val="22"/>
        </w:rPr>
        <w:tab/>
        <w:t>David Gorte</w:t>
      </w:r>
    </w:p>
    <w:p>
      <w:pPr>
        <w:pStyle w:val="Normal"/>
        <w:tabs>
          <w:tab w:val="left" w:pos="540" w:leader="none"/>
          <w:tab w:val="left" w:pos="1344" w:leader="none"/>
          <w:tab w:val="left" w:pos="5106" w:leader="none"/>
          <w:tab w:val="left" w:pos="7254" w:leader="none"/>
        </w:tabs>
        <w:jc w:val="both"/>
        <w:rPr>
          <w:sz w:val="22"/>
        </w:rPr>
      </w:pPr>
      <w:r>
        <w:rPr>
          <w:sz w:val="22"/>
        </w:rPr>
      </w:r>
    </w:p>
    <w:sectPr>
      <w:headerReference w:type="default" r:id="rId3"/>
      <w:headerReference w:type="first" r:id="rId4"/>
      <w:type w:val="nextPage"/>
      <w:pgSz w:w="12240" w:h="15840"/>
      <w:pgMar w:left="1152" w:right="1440" w:gutter="0" w:header="1152"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Black">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bookmarkStart w:id="0" w:name="StartOfMemo"/>
    <w:bookmarkStart w:id="1" w:name="StartOfMemo"/>
    <w:bookmarkEnd w:id="1"/>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3296285</wp:posOffset>
              </wp:positionH>
              <wp:positionV relativeFrom="paragraph">
                <wp:posOffset>-449580</wp:posOffset>
              </wp:positionV>
              <wp:extent cx="3877310" cy="93726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937260"/>
                      </a:xfrm>
                      <a:prstGeom prst="rect"/>
                      <a:solidFill>
                        <a:srgbClr val="FFFFFF">
                          <a:alpha val="0"/>
                        </a:srgbClr>
                      </a:solidFill>
                    </wps:spPr>
                    <wps:txbx>
                      <w:txbxContent>
                        <w:p>
                          <w:pPr>
                            <w:pStyle w:val="Normal"/>
                            <w:ind w:start="2430" w:end="-915"/>
                            <w:jc w:val="both"/>
                            <w:rPr>
                              <w:rFonts w:ascii="Times New Roman" w:hAnsi="Times New Roman" w:cs="Times New Roman"/>
                              <w:b/>
                              <w:smallCaps/>
                              <w:sz w:val="32"/>
                            </w:rPr>
                          </w:pPr>
                          <w:r>
                            <w:rPr>
                              <w:rFonts w:cs="Times New Roman" w:ascii="Times New Roman" w:hAnsi="Times New Roman"/>
                              <w:b/>
                              <w:smallCaps/>
                              <w:sz w:val="32"/>
                            </w:rPr>
                          </w:r>
                        </w:p>
                        <w:p>
                          <w:pPr>
                            <w:pStyle w:val="Normal"/>
                            <w:ind w:start="2430" w:end="-915"/>
                            <w:jc w:val="both"/>
                            <w:rPr>
                              <w:rFonts w:ascii="Times New Roman" w:hAnsi="Times New Roman" w:cs="Times New Roman"/>
                              <w:b/>
                              <w:smallCaps/>
                              <w:sz w:val="32"/>
                            </w:rPr>
                          </w:pPr>
                          <w:r>
                            <w:rPr>
                              <w:rFonts w:cs="Times New Roman" w:ascii="Times New Roman" w:hAnsi="Times New Roman"/>
                              <w:b/>
                              <w:smallCaps/>
                              <w:sz w:val="32"/>
                            </w:rPr>
                          </w:r>
                        </w:p>
                        <w:p>
                          <w:pPr>
                            <w:pStyle w:val="Normal"/>
                            <w:ind w:start="2430" w:end="-915"/>
                            <w:jc w:val="both"/>
                            <w:rPr>
                              <w:rFonts w:ascii="Times New Roman" w:hAnsi="Times New Roman" w:cs="Times New Roman"/>
                              <w:b/>
                              <w:i/>
                              <w:i/>
                              <w:smallCaps/>
                              <w:sz w:val="32"/>
                              <w:u w:val="single"/>
                            </w:rPr>
                          </w:pPr>
                          <w:r>
                            <w:rPr>
                              <w:rFonts w:cs="Times New Roman" w:ascii="Times New Roman" w:hAnsi="Times New Roman"/>
                              <w:b/>
                              <w:smallCaps/>
                              <w:sz w:val="32"/>
                            </w:rPr>
                            <w:t>privileged and</w:t>
                          </w:r>
                        </w:p>
                        <w:p>
                          <w:pPr>
                            <w:pStyle w:val="Normal"/>
                            <w:ind w:start="2430" w:end="-915"/>
                            <w:jc w:val="both"/>
                            <w:rPr>
                              <w:rFonts w:ascii="Times New Roman" w:hAnsi="Times New Roman" w:cs="Times New Roman"/>
                              <w:b/>
                              <w:i/>
                              <w:i/>
                              <w:smallCaps/>
                              <w:sz w:val="32"/>
                              <w:u w:val="single"/>
                            </w:rPr>
                          </w:pPr>
                          <w:r>
                            <w:rPr>
                              <w:rFonts w:cs="Times New Roman" w:ascii="Times New Roman" w:hAnsi="Times New Roman"/>
                              <w:b/>
                              <w:smallCaps/>
                              <w:sz w:val="32"/>
                            </w:rPr>
                            <w:t>confidential</w:t>
                          </w:r>
                        </w:p>
                      </w:txbxContent>
                    </wps:txbx>
                    <wps:bodyPr anchor="t" lIns="0" tIns="0" rIns="0" bIns="0">
                      <a:noAutofit/>
                    </wps:bodyPr>
                  </wps:wsp>
                </a:graphicData>
              </a:graphic>
            </wp:anchor>
          </w:drawing>
        </mc:Choice>
        <mc:Fallback>
          <w:pict>
            <v:rect fillcolor="#FFFFFF" style="position:absolute;rotation:-0;width:305.3pt;height:73.8pt;mso-wrap-distance-left:9.35pt;mso-wrap-distance-right:9.35pt;mso-wrap-distance-top:0pt;mso-wrap-distance-bottom:0pt;margin-top:-35.4pt;mso-position-vertical-relative:text;margin-left:259.55pt;mso-position-horizontal-relative:page">
              <v:fill opacity="0f"/>
              <v:textbox inset="0in,0in,0in,0in">
                <w:txbxContent>
                  <w:p>
                    <w:pPr>
                      <w:pStyle w:val="Normal"/>
                      <w:ind w:start="2430" w:end="-915"/>
                      <w:jc w:val="both"/>
                      <w:rPr>
                        <w:rFonts w:ascii="Times New Roman" w:hAnsi="Times New Roman" w:cs="Times New Roman"/>
                        <w:b/>
                        <w:smallCaps/>
                        <w:sz w:val="32"/>
                      </w:rPr>
                    </w:pPr>
                    <w:r>
                      <w:rPr>
                        <w:rFonts w:cs="Times New Roman" w:ascii="Times New Roman" w:hAnsi="Times New Roman"/>
                        <w:b/>
                        <w:smallCaps/>
                        <w:sz w:val="32"/>
                      </w:rPr>
                    </w:r>
                  </w:p>
                  <w:p>
                    <w:pPr>
                      <w:pStyle w:val="Normal"/>
                      <w:ind w:start="2430" w:end="-915"/>
                      <w:jc w:val="both"/>
                      <w:rPr>
                        <w:rFonts w:ascii="Times New Roman" w:hAnsi="Times New Roman" w:cs="Times New Roman"/>
                        <w:b/>
                        <w:smallCaps/>
                        <w:sz w:val="32"/>
                      </w:rPr>
                    </w:pPr>
                    <w:r>
                      <w:rPr>
                        <w:rFonts w:cs="Times New Roman" w:ascii="Times New Roman" w:hAnsi="Times New Roman"/>
                        <w:b/>
                        <w:smallCaps/>
                        <w:sz w:val="32"/>
                      </w:rPr>
                    </w:r>
                  </w:p>
                  <w:p>
                    <w:pPr>
                      <w:pStyle w:val="Normal"/>
                      <w:ind w:start="2430" w:end="-915"/>
                      <w:jc w:val="both"/>
                      <w:rPr>
                        <w:rFonts w:ascii="Times New Roman" w:hAnsi="Times New Roman" w:cs="Times New Roman"/>
                        <w:b/>
                        <w:i/>
                        <w:i/>
                        <w:smallCaps/>
                        <w:sz w:val="32"/>
                        <w:u w:val="single"/>
                      </w:rPr>
                    </w:pPr>
                    <w:r>
                      <w:rPr>
                        <w:rFonts w:cs="Times New Roman" w:ascii="Times New Roman" w:hAnsi="Times New Roman"/>
                        <w:b/>
                        <w:smallCaps/>
                        <w:sz w:val="32"/>
                      </w:rPr>
                      <w:t>privileged and</w:t>
                    </w:r>
                  </w:p>
                  <w:p>
                    <w:pPr>
                      <w:pStyle w:val="Normal"/>
                      <w:ind w:start="2430" w:end="-915"/>
                      <w:jc w:val="both"/>
                      <w:rPr>
                        <w:rFonts w:ascii="Times New Roman" w:hAnsi="Times New Roman" w:cs="Times New Roman"/>
                        <w:b/>
                        <w:i/>
                        <w:i/>
                        <w:smallCaps/>
                        <w:sz w:val="32"/>
                        <w:u w:val="single"/>
                      </w:rPr>
                    </w:pPr>
                    <w:r>
                      <w:rPr>
                        <w:rFonts w:cs="Times New Roman" w:ascii="Times New Roman" w:hAnsi="Times New Roman"/>
                        <w:b/>
                        <w:smallCaps/>
                        <w:sz w:val="32"/>
                      </w:rPr>
                      <w:t>confidential</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540"/>
        </w:tabs>
        <w:ind w:start="540" w:hanging="5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left" w:pos="540" w:leader="none"/>
        <w:tab w:val="left" w:pos="1344" w:leader="none"/>
        <w:tab w:val="left" w:pos="5106" w:leader="none"/>
        <w:tab w:val="left" w:pos="7254"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tabs>
        <w:tab w:val="clear" w:pos="540"/>
        <w:tab w:val="left" w:pos="1344" w:leader="none"/>
        <w:tab w:val="left" w:pos="5106" w:leader="none"/>
        <w:tab w:val="left" w:pos="7254" w:leader="none"/>
      </w:tabs>
      <w:ind w:hanging="0" w:start="576"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2001-06-20T20:13:00Z</dcterms:created>
  <dc:creator>appinst</dc:creator>
  <dc:description/>
  <dc:language>en-CA</dc:language>
  <cp:lastModifiedBy>rgeorge</cp:lastModifiedBy>
  <cp:lastPrinted>2001-06-20T18:10:00Z</cp:lastPrinted>
  <dcterms:modified xsi:type="dcterms:W3CDTF">2001-06-20T21:23:00Z</dcterms:modified>
  <cp:revision>7</cp:revision>
  <dc:subject/>
  <dc:title> </dc:title>
</cp:coreProperties>
</file>