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rPr>
      </w:pPr>
      <w:r>
        <w:rPr>
          <w:rFonts w:eastAsia="Arial"/>
          <w:sz w:val="20"/>
        </w:rPr>
        <w:t xml:space="preserve">      </w:t>
      </w:r>
      <w:r>
        <w:rPr>
          <w:sz w:val="20"/>
        </w:rPr>
        <w:drawing>
          <wp:inline distT="0" distB="0" distL="0" distR="0">
            <wp:extent cx="1099820" cy="112776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9820" cy="1127760"/>
                    </a:xfrm>
                    <a:prstGeom prst="rect">
                      <a:avLst/>
                    </a:prstGeom>
                    <a:noFill/>
                  </pic:spPr>
                </pic:pic>
              </a:graphicData>
            </a:graphic>
          </wp:inline>
        </w:drawing>
      </w:r>
    </w:p>
    <w:p>
      <w:pPr>
        <w:pStyle w:val="Heading"/>
        <w:rPr>
          <w:rFonts w:ascii="Arial Black" w:hAnsi="Arial Black" w:cs="Arial Black"/>
          <w:sz w:val="16"/>
        </w:rPr>
      </w:pPr>
      <w:r>
        <w:rPr>
          <w:rFonts w:cs="Arial Black" w:ascii="Arial Black" w:hAnsi="Arial Black"/>
          <w:sz w:val="16"/>
        </w:rPr>
      </w:r>
    </w:p>
    <w:p>
      <w:pPr>
        <w:pStyle w:val="Normal"/>
        <w:rPr>
          <w:b/>
          <w:sz w:val="32"/>
          <w:u w:val="single"/>
        </w:rPr>
      </w:pPr>
      <w:r>
        <w:rPr>
          <w:rFonts w:cs="Arial Black" w:ascii="Arial Black" w:hAnsi="Arial Black"/>
          <w:b/>
          <w:sz w:val="16"/>
        </w:rPr>
        <w:t>Endless Possibilities</w:t>
        <w:tab/>
        <w:tab/>
        <w:tab/>
        <w:tab/>
        <w:tab/>
        <w:tab/>
        <w:tab/>
      </w:r>
    </w:p>
    <w:p>
      <w:pPr>
        <w:pStyle w:val="Normal"/>
        <w:ind w:start="6390" w:end="0"/>
        <w:rPr>
          <w:b/>
          <w:sz w:val="20"/>
          <w:u w:val="single"/>
        </w:rPr>
      </w:pPr>
      <w:r>
        <w:rPr>
          <w:b/>
          <w:sz w:val="20"/>
          <w:u w:val="single"/>
        </w:rPr>
      </w:r>
    </w:p>
    <w:tbl>
      <w:tblPr>
        <w:tblW w:w="9828" w:type="dxa"/>
        <w:jc w:val="start"/>
        <w:tblInd w:w="0" w:type="dxa"/>
        <w:tblLayout w:type="fixed"/>
        <w:tblCellMar>
          <w:top w:w="0" w:type="dxa"/>
          <w:start w:w="108" w:type="dxa"/>
          <w:bottom w:w="0" w:type="dxa"/>
          <w:end w:w="108" w:type="dxa"/>
        </w:tblCellMar>
      </w:tblPr>
      <w:tblGrid>
        <w:gridCol w:w="1569"/>
        <w:gridCol w:w="3762"/>
        <w:gridCol w:w="1887"/>
        <w:gridCol w:w="261"/>
        <w:gridCol w:w="2169"/>
        <w:gridCol w:w="180"/>
      </w:tblGrid>
      <w:tr>
        <w:trPr/>
        <w:tc>
          <w:tcPr>
            <w:tcW w:w="1569" w:type="dxa"/>
            <w:tcBorders/>
          </w:tcPr>
          <w:p>
            <w:pPr>
              <w:pStyle w:val="Normal"/>
              <w:rPr>
                <w:b/>
              </w:rPr>
            </w:pPr>
            <w:r>
              <w:rPr>
                <w:b/>
              </w:rPr>
              <w:t>TO:</w:t>
            </w:r>
          </w:p>
        </w:tc>
        <w:tc>
          <w:tcPr>
            <w:tcW w:w="3762" w:type="dxa"/>
            <w:tcBorders/>
          </w:tcPr>
          <w:p>
            <w:pPr>
              <w:pStyle w:val="Normal"/>
              <w:rPr/>
            </w:pPr>
            <w:r>
              <w:rPr/>
              <w:t>Mark Haedicke</w:t>
            </w:r>
          </w:p>
          <w:p>
            <w:pPr>
              <w:pStyle w:val="Normal"/>
              <w:rPr/>
            </w:pPr>
            <w:r>
              <w:rPr/>
              <w:t>Lance Schuler</w:t>
            </w:r>
          </w:p>
          <w:p>
            <w:pPr>
              <w:pStyle w:val="Normal"/>
              <w:rPr/>
            </w:pPr>
            <w:r>
              <w:rPr/>
            </w:r>
          </w:p>
        </w:tc>
        <w:tc>
          <w:tcPr>
            <w:tcW w:w="2148" w:type="dxa"/>
            <w:gridSpan w:val="2"/>
            <w:tcBorders/>
          </w:tcPr>
          <w:p>
            <w:pPr>
              <w:pStyle w:val="Normal"/>
              <w:snapToGrid w:val="false"/>
              <w:rPr/>
            </w:pPr>
            <w:r>
              <w:rPr/>
            </w:r>
          </w:p>
        </w:tc>
        <w:tc>
          <w:tcPr>
            <w:tcW w:w="2169" w:type="dxa"/>
            <w:tcBorders/>
          </w:tcPr>
          <w:p>
            <w:pPr>
              <w:pStyle w:val="Normal"/>
              <w:snapToGrid w:val="false"/>
              <w:rPr/>
            </w:pPr>
            <w:r>
              <w:rPr/>
            </w:r>
          </w:p>
        </w:tc>
        <w:tc>
          <w:tcPr>
            <w:tcW w:w="180" w:type="dxa"/>
            <w:tcBorders/>
            <w:tcMar>
              <w:start w:w="0" w:type="dxa"/>
              <w:end w:w="0" w:type="dxa"/>
            </w:tcMar>
          </w:tcPr>
          <w:p>
            <w:pPr>
              <w:pStyle w:val="Normal"/>
              <w:snapToGrid w:val="false"/>
              <w:rPr/>
            </w:pPr>
            <w:r>
              <w:rPr/>
            </w:r>
          </w:p>
        </w:tc>
      </w:tr>
      <w:tr>
        <w:trPr/>
        <w:tc>
          <w:tcPr>
            <w:tcW w:w="1569" w:type="dxa"/>
            <w:tcBorders/>
          </w:tcPr>
          <w:p>
            <w:pPr>
              <w:pStyle w:val="Normal"/>
              <w:rPr>
                <w:b/>
              </w:rPr>
            </w:pPr>
            <w:r>
              <w:rPr>
                <w:b/>
              </w:rPr>
              <w:t>FROM:</w:t>
            </w:r>
          </w:p>
        </w:tc>
        <w:tc>
          <w:tcPr>
            <w:tcW w:w="3762" w:type="dxa"/>
            <w:tcBorders/>
          </w:tcPr>
          <w:p>
            <w:pPr>
              <w:pStyle w:val="Normal"/>
              <w:rPr/>
            </w:pPr>
            <w:r>
              <w:rPr/>
              <w:t>Robert George</w:t>
            </w:r>
          </w:p>
        </w:tc>
        <w:tc>
          <w:tcPr>
            <w:tcW w:w="2148" w:type="dxa"/>
            <w:gridSpan w:val="2"/>
            <w:tcBorders/>
          </w:tcPr>
          <w:p>
            <w:pPr>
              <w:pStyle w:val="Normal"/>
              <w:rPr>
                <w:b/>
              </w:rPr>
            </w:pPr>
            <w:r>
              <w:rPr>
                <w:b/>
              </w:rPr>
              <w:t>DEPARTMENT:</w:t>
            </w:r>
          </w:p>
        </w:tc>
        <w:tc>
          <w:tcPr>
            <w:tcW w:w="2169" w:type="dxa"/>
            <w:tcBorders/>
          </w:tcPr>
          <w:p>
            <w:pPr>
              <w:pStyle w:val="Normal"/>
              <w:rPr/>
            </w:pPr>
            <w:r>
              <w:rPr/>
              <w:t>ENA Legal</w:t>
            </w:r>
          </w:p>
        </w:tc>
        <w:tc>
          <w:tcPr>
            <w:tcW w:w="180" w:type="dxa"/>
            <w:tcBorders/>
            <w:tcMar>
              <w:start w:w="0" w:type="dxa"/>
              <w:end w:w="0" w:type="dxa"/>
            </w:tcMar>
          </w:tcPr>
          <w:p>
            <w:pPr>
              <w:pStyle w:val="Normal"/>
              <w:snapToGrid w:val="false"/>
              <w:rPr/>
            </w:pPr>
            <w:r>
              <w:rPr/>
            </w:r>
          </w:p>
        </w:tc>
      </w:tr>
      <w:tr>
        <w:trPr/>
        <w:tc>
          <w:tcPr>
            <w:tcW w:w="1569" w:type="dxa"/>
            <w:tcBorders/>
          </w:tcPr>
          <w:p>
            <w:pPr>
              <w:pStyle w:val="Normal"/>
              <w:snapToGrid w:val="false"/>
              <w:rPr>
                <w:b/>
              </w:rPr>
            </w:pPr>
            <w:r>
              <w:rPr>
                <w:b/>
              </w:rPr>
            </w:r>
          </w:p>
        </w:tc>
        <w:tc>
          <w:tcPr>
            <w:tcW w:w="3762" w:type="dxa"/>
            <w:tcBorders/>
          </w:tcPr>
          <w:p>
            <w:pPr>
              <w:pStyle w:val="Normal"/>
              <w:snapToGrid w:val="false"/>
              <w:rPr>
                <w:b/>
              </w:rPr>
            </w:pPr>
            <w:r>
              <w:rPr>
                <w:b/>
              </w:rPr>
            </w:r>
          </w:p>
        </w:tc>
        <w:tc>
          <w:tcPr>
            <w:tcW w:w="2148" w:type="dxa"/>
            <w:gridSpan w:val="2"/>
            <w:tcBorders/>
          </w:tcPr>
          <w:p>
            <w:pPr>
              <w:pStyle w:val="Normal"/>
              <w:snapToGrid w:val="false"/>
              <w:rPr>
                <w:b/>
              </w:rPr>
            </w:pPr>
            <w:r>
              <w:rPr>
                <w:b/>
              </w:rPr>
            </w:r>
          </w:p>
        </w:tc>
        <w:tc>
          <w:tcPr>
            <w:tcW w:w="2169" w:type="dxa"/>
            <w:tcBorders/>
          </w:tcPr>
          <w:p>
            <w:pPr>
              <w:pStyle w:val="Normal"/>
              <w:snapToGrid w:val="false"/>
              <w:rPr>
                <w:b/>
              </w:rPr>
            </w:pPr>
            <w:r>
              <w:rPr>
                <w:b/>
              </w:rPr>
            </w:r>
          </w:p>
        </w:tc>
        <w:tc>
          <w:tcPr>
            <w:tcW w:w="180" w:type="dxa"/>
            <w:tcBorders/>
            <w:tcMar>
              <w:start w:w="0" w:type="dxa"/>
              <w:end w:w="0" w:type="dxa"/>
            </w:tcMar>
          </w:tcPr>
          <w:p>
            <w:pPr>
              <w:pStyle w:val="Normal"/>
              <w:snapToGrid w:val="false"/>
              <w:rPr/>
            </w:pPr>
            <w:r>
              <w:rPr/>
            </w:r>
          </w:p>
        </w:tc>
      </w:tr>
      <w:tr>
        <w:trPr/>
        <w:tc>
          <w:tcPr>
            <w:tcW w:w="1569" w:type="dxa"/>
            <w:tcBorders>
              <w:bottom w:val="single" w:sz="18" w:space="0" w:color="000000"/>
            </w:tcBorders>
          </w:tcPr>
          <w:p>
            <w:pPr>
              <w:pStyle w:val="Normal"/>
              <w:rPr>
                <w:b/>
              </w:rPr>
            </w:pPr>
            <w:r>
              <w:rPr>
                <w:b/>
              </w:rPr>
              <w:t>SUBJECT:</w:t>
            </w:r>
          </w:p>
        </w:tc>
        <w:tc>
          <w:tcPr>
            <w:tcW w:w="3762" w:type="dxa"/>
            <w:tcBorders>
              <w:bottom w:val="single" w:sz="18" w:space="0" w:color="000000"/>
            </w:tcBorders>
          </w:tcPr>
          <w:p>
            <w:pPr>
              <w:pStyle w:val="Normal"/>
              <w:rPr/>
            </w:pPr>
            <w:r>
              <w:rPr/>
              <w:t>Sale of 80% of Monterrey, Mexico IPP</w:t>
            </w:r>
          </w:p>
          <w:p>
            <w:pPr>
              <w:pStyle w:val="Normal"/>
              <w:rPr/>
            </w:pPr>
            <w:r>
              <w:rPr/>
            </w:r>
          </w:p>
        </w:tc>
        <w:tc>
          <w:tcPr>
            <w:tcW w:w="1887" w:type="dxa"/>
            <w:tcBorders>
              <w:bottom w:val="single" w:sz="18" w:space="0" w:color="000000"/>
            </w:tcBorders>
          </w:tcPr>
          <w:p>
            <w:pPr>
              <w:pStyle w:val="Normal"/>
              <w:rPr>
                <w:b/>
              </w:rPr>
            </w:pPr>
            <w:r>
              <w:rPr>
                <w:b/>
              </w:rPr>
              <w:t>DATE:</w:t>
            </w:r>
          </w:p>
        </w:tc>
        <w:tc>
          <w:tcPr>
            <w:tcW w:w="2610" w:type="dxa"/>
            <w:gridSpan w:val="3"/>
            <w:tcBorders>
              <w:bottom w:val="single" w:sz="18" w:space="0" w:color="000000"/>
            </w:tcBorders>
          </w:tcPr>
          <w:p>
            <w:pPr>
              <w:pStyle w:val="Normal"/>
              <w:rPr/>
            </w:pPr>
            <w:r>
              <w:rPr/>
              <w:t>May 31, 2001</w:t>
            </w:r>
          </w:p>
          <w:p>
            <w:pPr>
              <w:pStyle w:val="Normal"/>
              <w:rPr/>
            </w:pPr>
            <w:r>
              <w:rPr/>
            </w:r>
          </w:p>
        </w:tc>
      </w:tr>
    </w:tbl>
    <w:p>
      <w:pPr>
        <w:pStyle w:val="Normal"/>
        <w:tabs>
          <w:tab w:val="left" w:pos="540" w:leader="none"/>
          <w:tab w:val="left" w:pos="1344" w:leader="none"/>
          <w:tab w:val="left" w:pos="5106" w:leader="none"/>
          <w:tab w:val="left" w:pos="7254" w:leader="none"/>
        </w:tabs>
        <w:jc w:val="both"/>
        <w:rPr/>
      </w:pPr>
      <w:r>
        <w:rPr/>
      </w:r>
    </w:p>
    <w:p>
      <w:pPr>
        <w:pStyle w:val="Normal"/>
        <w:tabs>
          <w:tab w:val="left" w:pos="540" w:leader="none"/>
          <w:tab w:val="left" w:pos="1344" w:leader="none"/>
          <w:tab w:val="left" w:pos="5106" w:leader="none"/>
          <w:tab w:val="left" w:pos="7254" w:leader="none"/>
        </w:tabs>
        <w:jc w:val="both"/>
        <w:rPr>
          <w:sz w:val="22"/>
        </w:rPr>
      </w:pPr>
      <w:r>
        <w:rPr>
          <w:sz w:val="22"/>
        </w:rPr>
      </w:r>
    </w:p>
    <w:p>
      <w:pPr>
        <w:pStyle w:val="Normal"/>
        <w:tabs>
          <w:tab w:val="left" w:pos="540" w:leader="none"/>
          <w:tab w:val="left" w:pos="1344" w:leader="none"/>
          <w:tab w:val="left" w:pos="5106" w:leader="none"/>
          <w:tab w:val="left" w:pos="7254" w:leader="none"/>
        </w:tabs>
        <w:jc w:val="both"/>
        <w:rPr>
          <w:b/>
          <w:bCs/>
          <w:sz w:val="22"/>
        </w:rPr>
      </w:pPr>
      <w:r>
        <w:rPr>
          <w:b/>
          <w:bCs/>
          <w:sz w:val="22"/>
        </w:rPr>
        <w:t>Legal Risk Rating 2 =  (on a scale of 1 to 5, with 5 representing the greatest degree of risk)</w:t>
      </w:r>
    </w:p>
    <w:p>
      <w:pPr>
        <w:pStyle w:val="Normal"/>
        <w:tabs>
          <w:tab w:val="left" w:pos="540" w:leader="none"/>
          <w:tab w:val="left" w:pos="1344" w:leader="none"/>
          <w:tab w:val="left" w:pos="5106" w:leader="none"/>
          <w:tab w:val="left" w:pos="7254" w:leader="none"/>
        </w:tabs>
        <w:jc w:val="both"/>
        <w:rPr>
          <w:b/>
          <w:bCs/>
          <w:sz w:val="22"/>
        </w:rPr>
      </w:pPr>
      <w:r>
        <w:rPr>
          <w:b/>
          <w:bCs/>
          <w:sz w:val="22"/>
        </w:rPr>
      </w:r>
    </w:p>
    <w:p>
      <w:pPr>
        <w:pStyle w:val="BodyText"/>
        <w:rPr>
          <w:sz w:val="22"/>
        </w:rPr>
      </w:pPr>
      <w:r>
        <w:rPr>
          <w:sz w:val="22"/>
        </w:rPr>
        <w:t>Enron Capital &amp; Trade Resources Mexico Holdings B.V., an Enron affiliate whose obligations will be guaranteed by Enron North America Corp. (“ENA”) in the proposed transaction, intends to sell to Tractebel S.A. (“Tractebel”) 80% of the affiliate’s interest in a 245 MW natural gas fired co-generation plant under construction in Nuevo Leon, Mexico (the “Project”).  Construction on the Project was commenced in December 2000 and is expected to be completed in October of 2002.  The initial funding of our IDB financing for the project was just completed on May 8.  After closing, a transition period would commence whereupon ENA would turnover its owner’s responsibilities connected with the Project to Tractebel.   Since the construction is ongoing and the contractor is a third party, the principal owner responsibilities are construction oversight and loan funding management.</w:t>
      </w:r>
    </w:p>
    <w:p>
      <w:pPr>
        <w:pStyle w:val="Normal"/>
        <w:tabs>
          <w:tab w:val="left" w:pos="540" w:leader="none"/>
          <w:tab w:val="left" w:pos="1344" w:leader="none"/>
          <w:tab w:val="left" w:pos="5106" w:leader="none"/>
          <w:tab w:val="left" w:pos="7254" w:leader="none"/>
        </w:tabs>
        <w:jc w:val="both"/>
        <w:rPr>
          <w:sz w:val="22"/>
        </w:rPr>
      </w:pPr>
      <w:r>
        <w:rPr>
          <w:sz w:val="22"/>
        </w:rPr>
      </w:r>
    </w:p>
    <w:p>
      <w:pPr>
        <w:pStyle w:val="Normal"/>
        <w:tabs>
          <w:tab w:val="left" w:pos="540" w:leader="none"/>
          <w:tab w:val="left" w:pos="1344" w:leader="none"/>
          <w:tab w:val="left" w:pos="5106" w:leader="none"/>
          <w:tab w:val="left" w:pos="7254" w:leader="none"/>
        </w:tabs>
        <w:jc w:val="both"/>
        <w:rPr>
          <w:sz w:val="22"/>
        </w:rPr>
      </w:pPr>
      <w:r>
        <w:rPr>
          <w:sz w:val="22"/>
        </w:rPr>
        <w:t xml:space="preserve">The legal risks associated with this transaction are as follows: </w:t>
      </w:r>
    </w:p>
    <w:p>
      <w:pPr>
        <w:pStyle w:val="Normal"/>
        <w:tabs>
          <w:tab w:val="left" w:pos="540" w:leader="none"/>
          <w:tab w:val="left" w:pos="1344" w:leader="none"/>
          <w:tab w:val="left" w:pos="5106" w:leader="none"/>
          <w:tab w:val="left" w:pos="7254" w:leader="none"/>
        </w:tabs>
        <w:jc w:val="both"/>
        <w:rPr>
          <w:sz w:val="22"/>
        </w:rPr>
      </w:pPr>
      <w:r>
        <w:rPr>
          <w:sz w:val="22"/>
        </w:rPr>
      </w:r>
    </w:p>
    <w:p>
      <w:pPr>
        <w:pStyle w:val="Normal"/>
        <w:tabs>
          <w:tab w:val="left" w:pos="540" w:leader="none"/>
          <w:tab w:val="left" w:pos="1344" w:leader="none"/>
          <w:tab w:val="left" w:pos="5106" w:leader="none"/>
          <w:tab w:val="left" w:pos="7254" w:leader="none"/>
        </w:tabs>
        <w:jc w:val="both"/>
        <w:rPr/>
      </w:pPr>
      <w:r>
        <w:rPr>
          <w:sz w:val="22"/>
        </w:rPr>
        <w:t>1.</w:t>
        <w:tab/>
      </w:r>
      <w:r>
        <w:rPr>
          <w:sz w:val="22"/>
          <w:u w:val="single"/>
        </w:rPr>
        <w:t>Liabilities to Purchaser</w:t>
      </w:r>
      <w:r>
        <w:rPr>
          <w:sz w:val="22"/>
        </w:rPr>
        <w:t>.  ENA is making typical representations and covenants related to the transaction that would create liabilities if breached.  Unlike the representations that Enron just made to the banks in the IDB financing, these representations are in most cases more limited in scope than usual and, in any event, all liabilities under the contract have been capped at 50% of the purchase price.  In addition, there is a floor of $500,000 that has to be reached before claims can be asserted under the contract and all claims must be asserted within 1 year after closing.  Finally, these provisions have been reviewed extensively by senior Project personnel and re-confirmed recently with the IDB loan funding.</w:t>
      </w:r>
    </w:p>
    <w:p>
      <w:pPr>
        <w:pStyle w:val="Normal"/>
        <w:tabs>
          <w:tab w:val="left" w:pos="540" w:leader="none"/>
          <w:tab w:val="left" w:pos="1344" w:leader="none"/>
          <w:tab w:val="left" w:pos="5106" w:leader="none"/>
          <w:tab w:val="left" w:pos="7254" w:leader="none"/>
        </w:tabs>
        <w:jc w:val="both"/>
        <w:rPr>
          <w:sz w:val="22"/>
        </w:rPr>
      </w:pPr>
      <w:r>
        <w:rPr>
          <w:sz w:val="22"/>
        </w:rPr>
      </w:r>
    </w:p>
    <w:p>
      <w:pPr>
        <w:pStyle w:val="Normal"/>
        <w:numPr>
          <w:ilvl w:val="0"/>
          <w:numId w:val="2"/>
        </w:numPr>
        <w:tabs>
          <w:tab w:val="left" w:pos="0" w:leader="none"/>
          <w:tab w:val="left" w:pos="540" w:leader="none"/>
          <w:tab w:val="left" w:pos="1344" w:leader="none"/>
          <w:tab w:val="left" w:pos="5106" w:leader="none"/>
          <w:tab w:val="left" w:pos="7254" w:leader="none"/>
        </w:tabs>
        <w:ind w:hanging="0" w:start="0" w:end="0"/>
        <w:jc w:val="both"/>
        <w:rPr>
          <w:sz w:val="22"/>
        </w:rPr>
      </w:pPr>
      <w:r>
        <w:rPr>
          <w:sz w:val="22"/>
          <w:u w:val="single"/>
        </w:rPr>
        <w:t>Closing Conditions</w:t>
      </w:r>
      <w:r>
        <w:rPr>
          <w:sz w:val="22"/>
        </w:rPr>
        <w:t>.  Closing will require the approval of the IDB and the approval of the Mexican agency charged with protecting competition in Mexico.  The Mexican regulatory approval is expected to be largely ministerial in this case, but the IDB may object to the 80% sale.  It is expected that the IDB would approve a 50% sale, with a subsequent 30% sale after the Project is operational.  In case IDB approval of the 80% transaction becomes a problem, the parties have already approved terms for a 50/30 sale that is expected to address most of the concerns that the IDB might have.</w:t>
      </w:r>
    </w:p>
    <w:p>
      <w:pPr>
        <w:pStyle w:val="Normal"/>
        <w:tabs>
          <w:tab w:val="clear" w:pos="540"/>
          <w:tab w:val="left" w:pos="1344" w:leader="none"/>
          <w:tab w:val="left" w:pos="5106" w:leader="none"/>
          <w:tab w:val="left" w:pos="7254" w:leader="none"/>
        </w:tabs>
        <w:jc w:val="both"/>
        <w:rPr>
          <w:sz w:val="22"/>
        </w:rPr>
      </w:pPr>
      <w:r>
        <w:rPr>
          <w:sz w:val="22"/>
        </w:rPr>
      </w:r>
    </w:p>
    <w:p>
      <w:pPr>
        <w:pStyle w:val="Normal"/>
        <w:numPr>
          <w:ilvl w:val="0"/>
          <w:numId w:val="2"/>
        </w:numPr>
        <w:tabs>
          <w:tab w:val="left" w:pos="0" w:leader="none"/>
          <w:tab w:val="left" w:pos="540" w:leader="none"/>
          <w:tab w:val="left" w:pos="1344" w:leader="none"/>
          <w:tab w:val="left" w:pos="5106" w:leader="none"/>
          <w:tab w:val="left" w:pos="7254" w:leader="none"/>
        </w:tabs>
        <w:ind w:hanging="0" w:start="0" w:end="0"/>
        <w:jc w:val="both"/>
        <w:rPr>
          <w:sz w:val="22"/>
        </w:rPr>
      </w:pPr>
      <w:r>
        <w:rPr>
          <w:sz w:val="22"/>
          <w:u w:val="single"/>
        </w:rPr>
        <w:t>Transition Related Risks</w:t>
      </w:r>
      <w:r>
        <w:rPr>
          <w:sz w:val="22"/>
        </w:rPr>
        <w:t>.   The Project contracts in many cases require that the Project be operational by certain dates and the transfer to Tractebel of control over the Project adds an incremental risk to these obligations.  The parties intend to mitigate these risks through an extended transition period which leaves Enron in control of the Project until a date that Enron believes Tractebel should be able to take over the somewhat reduced responsibities that Enron has as an owner during this construction phase of the Project.</w:t>
      </w:r>
    </w:p>
    <w:p>
      <w:pPr>
        <w:pStyle w:val="Normal"/>
        <w:tabs>
          <w:tab w:val="left" w:pos="540" w:leader="none"/>
          <w:tab w:val="left" w:pos="1344" w:leader="none"/>
          <w:tab w:val="left" w:pos="5106" w:leader="none"/>
          <w:tab w:val="left" w:pos="7254" w:leader="none"/>
        </w:tabs>
        <w:jc w:val="both"/>
        <w:rPr>
          <w:sz w:val="22"/>
        </w:rPr>
      </w:pPr>
      <w:r>
        <w:rPr>
          <w:sz w:val="22"/>
        </w:rPr>
      </w:r>
    </w:p>
    <w:p>
      <w:pPr>
        <w:pStyle w:val="Normal"/>
        <w:numPr>
          <w:ilvl w:val="0"/>
          <w:numId w:val="2"/>
        </w:numPr>
        <w:tabs>
          <w:tab w:val="left" w:pos="0" w:leader="none"/>
          <w:tab w:val="left" w:pos="540" w:leader="none"/>
          <w:tab w:val="left" w:pos="1344" w:leader="none"/>
          <w:tab w:val="left" w:pos="5106" w:leader="none"/>
          <w:tab w:val="left" w:pos="7254" w:leader="none"/>
        </w:tabs>
        <w:ind w:hanging="0" w:start="0" w:end="0"/>
        <w:jc w:val="both"/>
        <w:rPr>
          <w:sz w:val="22"/>
          <w:u w:val="single"/>
        </w:rPr>
      </w:pPr>
      <w:r>
        <w:rPr>
          <w:sz w:val="22"/>
          <w:u w:val="single"/>
        </w:rPr>
        <w:t>Minority Shareholder Risks</w:t>
      </w:r>
      <w:r>
        <w:rPr>
          <w:sz w:val="22"/>
        </w:rPr>
        <w:t xml:space="preserve">.  As a minority shareholder, ENA will retain only one board seat and one officer in the Project and can typically be outvoted on all matters not specifically requiring Enron’s approval under the shareholders agreement.   At present, however, ENA expects to be able to veto: (i) affiliate transactions, (ii) non-arms’ length transactions, (iii) new material contracts, (iv) material changes in (a) the organizational documents, (b) the business, (c) the dividend policy, (d) certain material agreements, (e) the capital structure, and (f) the Project budgets, and (v) an assortment of other typical veto rights.  Materiality varies from as low as $2 million in some provisions to up to $10 million in others.  The controls over the budget process are relatively tight and a purchaser of our remaining 20% stake should consider this to be a relatively strong set of rights for a 20% stake holder.  </w:t>
      </w:r>
    </w:p>
    <w:p>
      <w:pPr>
        <w:pStyle w:val="Normal"/>
        <w:tabs>
          <w:tab w:val="clear" w:pos="540"/>
          <w:tab w:val="left" w:pos="1344" w:leader="none"/>
          <w:tab w:val="left" w:pos="5106" w:leader="none"/>
          <w:tab w:val="left" w:pos="7254" w:leader="none"/>
        </w:tabs>
        <w:jc w:val="both"/>
        <w:rPr>
          <w:sz w:val="22"/>
          <w:u w:val="single"/>
        </w:rPr>
      </w:pPr>
      <w:r>
        <w:rPr>
          <w:sz w:val="22"/>
          <w:u w:val="single"/>
        </w:rPr>
      </w:r>
    </w:p>
    <w:p>
      <w:pPr>
        <w:pStyle w:val="Normal"/>
        <w:numPr>
          <w:ilvl w:val="0"/>
          <w:numId w:val="2"/>
        </w:numPr>
        <w:tabs>
          <w:tab w:val="left" w:pos="0" w:leader="none"/>
          <w:tab w:val="left" w:pos="540" w:leader="none"/>
          <w:tab w:val="left" w:pos="1344" w:leader="none"/>
          <w:tab w:val="left" w:pos="5106" w:leader="none"/>
          <w:tab w:val="left" w:pos="7254" w:leader="none"/>
        </w:tabs>
        <w:ind w:hanging="0" w:start="0" w:end="0"/>
        <w:jc w:val="both"/>
        <w:rPr>
          <w:sz w:val="22"/>
        </w:rPr>
      </w:pPr>
      <w:r>
        <w:rPr>
          <w:sz w:val="22"/>
          <w:u w:val="single"/>
        </w:rPr>
        <w:t>OEC Agreement</w:t>
      </w:r>
      <w:r>
        <w:rPr>
          <w:sz w:val="22"/>
        </w:rPr>
        <w:t xml:space="preserve">.  Tractebel has stated its intention to eventually replace OEC, our Enron operator for the Project, at some point in the future.  This will require both the approval of the IDB and certain power purchasers before it can take place, but it is not a condition to closing.  </w:t>
      </w:r>
    </w:p>
    <w:p>
      <w:pPr>
        <w:pStyle w:val="Normal"/>
        <w:tabs>
          <w:tab w:val="left" w:pos="540" w:leader="none"/>
          <w:tab w:val="left" w:pos="1344" w:leader="none"/>
          <w:tab w:val="left" w:pos="5106" w:leader="none"/>
          <w:tab w:val="left" w:pos="7254" w:leader="none"/>
        </w:tabs>
        <w:jc w:val="both"/>
        <w:rPr>
          <w:sz w:val="22"/>
          <w:u w:val="single"/>
        </w:rPr>
      </w:pPr>
      <w:r>
        <w:rPr>
          <w:sz w:val="22"/>
          <w:u w:val="single"/>
        </w:rPr>
      </w:r>
    </w:p>
    <w:p>
      <w:pPr>
        <w:pStyle w:val="Normal"/>
        <w:numPr>
          <w:ilvl w:val="0"/>
          <w:numId w:val="2"/>
        </w:numPr>
        <w:tabs>
          <w:tab w:val="left" w:pos="0" w:leader="none"/>
          <w:tab w:val="left" w:pos="540" w:leader="none"/>
          <w:tab w:val="left" w:pos="1344" w:leader="none"/>
          <w:tab w:val="left" w:pos="5106" w:leader="none"/>
          <w:tab w:val="left" w:pos="7254" w:leader="none"/>
        </w:tabs>
        <w:ind w:hanging="0" w:start="0" w:end="0"/>
        <w:jc w:val="both"/>
        <w:rPr>
          <w:sz w:val="22"/>
        </w:rPr>
      </w:pPr>
      <w:r>
        <w:rPr>
          <w:sz w:val="22"/>
          <w:u w:val="single"/>
        </w:rPr>
        <w:t>Other Restrictions</w:t>
      </w:r>
      <w:r>
        <w:rPr>
          <w:sz w:val="22"/>
        </w:rPr>
        <w:t xml:space="preserve">.  Other than the always existing IDB approval, there are no restrictions on the sale of our remaining 20%, but we will need to require a purchaser to comply with the confidentiality obligations imposed in the contracts.  In addition, while the shareholders agreement contains our typical waiver of any objections to competition with the Project, there is a somewhat unusual provision prohibiting the shareholders from inducing material breaches in the Project steam and power contracts.   However, this provision has been drafted to be nothing more than a restatement of the legal precepts applicable to claims based on the tortious interference with contracts.  </w:t>
      </w:r>
    </w:p>
    <w:p>
      <w:pPr>
        <w:pStyle w:val="Normal"/>
        <w:tabs>
          <w:tab w:val="left" w:pos="540" w:leader="none"/>
          <w:tab w:val="left" w:pos="1344" w:leader="none"/>
          <w:tab w:val="left" w:pos="5106" w:leader="none"/>
          <w:tab w:val="left" w:pos="7254" w:leader="none"/>
        </w:tabs>
        <w:jc w:val="both"/>
        <w:rPr>
          <w:sz w:val="22"/>
        </w:rPr>
      </w:pPr>
      <w:r>
        <w:rPr>
          <w:sz w:val="22"/>
        </w:rPr>
      </w:r>
    </w:p>
    <w:p>
      <w:pPr>
        <w:pStyle w:val="Normal"/>
        <w:tabs>
          <w:tab w:val="left" w:pos="540" w:leader="none"/>
          <w:tab w:val="left" w:pos="1344" w:leader="none"/>
          <w:tab w:val="left" w:pos="5106" w:leader="none"/>
          <w:tab w:val="left" w:pos="7254" w:leader="none"/>
        </w:tabs>
        <w:jc w:val="both"/>
        <w:rPr>
          <w:sz w:val="22"/>
        </w:rPr>
      </w:pPr>
      <w:r>
        <w:rPr>
          <w:sz w:val="22"/>
        </w:rPr>
      </w:r>
    </w:p>
    <w:p>
      <w:pPr>
        <w:pStyle w:val="Normal"/>
        <w:tabs>
          <w:tab w:val="left" w:pos="540" w:leader="none"/>
          <w:tab w:val="left" w:pos="1344" w:leader="none"/>
          <w:tab w:val="left" w:pos="5106" w:leader="none"/>
          <w:tab w:val="left" w:pos="7254" w:leader="none"/>
        </w:tabs>
        <w:jc w:val="both"/>
        <w:rPr>
          <w:sz w:val="22"/>
        </w:rPr>
      </w:pPr>
      <w:r>
        <w:rPr>
          <w:sz w:val="22"/>
        </w:rPr>
        <w:t xml:space="preserve">cc:  </w:t>
        <w:tab/>
        <w:t>Steve Irvin</w:t>
      </w:r>
    </w:p>
    <w:p>
      <w:pPr>
        <w:pStyle w:val="Normal"/>
        <w:tabs>
          <w:tab w:val="left" w:pos="540" w:leader="none"/>
          <w:tab w:val="left" w:pos="1344" w:leader="none"/>
          <w:tab w:val="left" w:pos="5106" w:leader="none"/>
          <w:tab w:val="left" w:pos="7254" w:leader="none"/>
        </w:tabs>
        <w:jc w:val="both"/>
        <w:rPr>
          <w:sz w:val="22"/>
        </w:rPr>
      </w:pPr>
      <w:r>
        <w:rPr>
          <w:sz w:val="22"/>
        </w:rPr>
        <w:tab/>
        <w:t>Don Miller</w:t>
      </w:r>
    </w:p>
    <w:p>
      <w:pPr>
        <w:pStyle w:val="Normal"/>
        <w:tabs>
          <w:tab w:val="left" w:pos="540" w:leader="none"/>
          <w:tab w:val="left" w:pos="1344" w:leader="none"/>
          <w:tab w:val="left" w:pos="5106" w:leader="none"/>
          <w:tab w:val="left" w:pos="7254" w:leader="none"/>
        </w:tabs>
        <w:jc w:val="both"/>
        <w:rPr>
          <w:sz w:val="22"/>
        </w:rPr>
      </w:pPr>
      <w:r>
        <w:rPr>
          <w:sz w:val="22"/>
        </w:rPr>
        <w:tab/>
        <w:t>John Lavorato</w:t>
      </w:r>
    </w:p>
    <w:p>
      <w:pPr>
        <w:pStyle w:val="Normal"/>
        <w:tabs>
          <w:tab w:val="left" w:pos="540" w:leader="none"/>
          <w:tab w:val="left" w:pos="1344" w:leader="none"/>
          <w:tab w:val="left" w:pos="5106" w:leader="none"/>
          <w:tab w:val="left" w:pos="7254" w:leader="none"/>
        </w:tabs>
        <w:jc w:val="both"/>
        <w:rPr>
          <w:sz w:val="22"/>
        </w:rPr>
      </w:pPr>
      <w:r>
        <w:rPr>
          <w:sz w:val="22"/>
        </w:rPr>
        <w:tab/>
        <w:t>Mark Frevert</w:t>
      </w:r>
    </w:p>
    <w:p>
      <w:pPr>
        <w:pStyle w:val="Normal"/>
        <w:tabs>
          <w:tab w:val="left" w:pos="540" w:leader="none"/>
          <w:tab w:val="left" w:pos="1344" w:leader="none"/>
          <w:tab w:val="left" w:pos="5106" w:leader="none"/>
          <w:tab w:val="left" w:pos="7254" w:leader="none"/>
        </w:tabs>
        <w:jc w:val="both"/>
        <w:rPr>
          <w:sz w:val="22"/>
        </w:rPr>
      </w:pPr>
      <w:r>
        <w:rPr>
          <w:sz w:val="22"/>
        </w:rPr>
        <w:tab/>
        <w:t>David Gorte</w:t>
      </w:r>
    </w:p>
    <w:p>
      <w:pPr>
        <w:pStyle w:val="Normal"/>
        <w:tabs>
          <w:tab w:val="left" w:pos="540" w:leader="none"/>
          <w:tab w:val="left" w:pos="1344" w:leader="none"/>
          <w:tab w:val="left" w:pos="5106" w:leader="none"/>
          <w:tab w:val="left" w:pos="7254" w:leader="none"/>
        </w:tabs>
        <w:jc w:val="both"/>
        <w:rPr>
          <w:sz w:val="22"/>
        </w:rPr>
      </w:pPr>
      <w:r>
        <w:rPr>
          <w:sz w:val="22"/>
        </w:rPr>
      </w:r>
    </w:p>
    <w:sectPr>
      <w:headerReference w:type="default" r:id="rId3"/>
      <w:headerReference w:type="first" r:id="rId4"/>
      <w:footerReference w:type="default" r:id="rId5"/>
      <w:footerReference w:type="first" r:id="rId6"/>
      <w:type w:val="nextPage"/>
      <w:pgSz w:w="12240" w:h="15840"/>
      <w:pgMar w:left="1152" w:right="1440" w:gutter="0" w:header="1152" w:top="1440"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Arial Black">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o:legal/tmccull/mems/CanFibre.doc</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bookmarkStart w:id="0" w:name="StartOfMemo"/>
    <w:bookmarkStart w:id="1" w:name="StartOfMemo"/>
    <w:bookmarkEnd w:id="1"/>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3296285</wp:posOffset>
              </wp:positionH>
              <wp:positionV relativeFrom="paragraph">
                <wp:posOffset>-449580</wp:posOffset>
              </wp:positionV>
              <wp:extent cx="3877310" cy="937260"/>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937260"/>
                      </a:xfrm>
                      <a:prstGeom prst="rect"/>
                      <a:solidFill>
                        <a:srgbClr val="FFFFFF">
                          <a:alpha val="0"/>
                        </a:srgbClr>
                      </a:solidFill>
                    </wps:spPr>
                    <wps:txbx>
                      <w:txbxContent>
                        <w:p>
                          <w:pPr>
                            <w:pStyle w:val="Normal"/>
                            <w:ind w:start="2430" w:end="-915"/>
                            <w:jc w:val="both"/>
                            <w:rPr>
                              <w:rFonts w:ascii="Times New Roman" w:hAnsi="Times New Roman" w:cs="Times New Roman"/>
                              <w:b/>
                              <w:smallCaps/>
                              <w:sz w:val="32"/>
                            </w:rPr>
                          </w:pPr>
                          <w:r>
                            <w:rPr>
                              <w:rFonts w:cs="Times New Roman" w:ascii="Times New Roman" w:hAnsi="Times New Roman"/>
                              <w:b/>
                              <w:smallCaps/>
                              <w:sz w:val="32"/>
                            </w:rPr>
                          </w:r>
                        </w:p>
                        <w:p>
                          <w:pPr>
                            <w:pStyle w:val="Normal"/>
                            <w:ind w:start="2430" w:end="-915"/>
                            <w:jc w:val="both"/>
                            <w:rPr>
                              <w:rFonts w:ascii="Times New Roman" w:hAnsi="Times New Roman" w:cs="Times New Roman"/>
                              <w:b/>
                              <w:smallCaps/>
                              <w:sz w:val="32"/>
                            </w:rPr>
                          </w:pPr>
                          <w:r>
                            <w:rPr>
                              <w:rFonts w:cs="Times New Roman" w:ascii="Times New Roman" w:hAnsi="Times New Roman"/>
                              <w:b/>
                              <w:smallCaps/>
                              <w:sz w:val="32"/>
                            </w:rPr>
                          </w:r>
                        </w:p>
                        <w:p>
                          <w:pPr>
                            <w:pStyle w:val="Normal"/>
                            <w:ind w:start="2430" w:end="-915"/>
                            <w:jc w:val="both"/>
                            <w:rPr>
                              <w:rFonts w:ascii="Times New Roman" w:hAnsi="Times New Roman" w:cs="Times New Roman"/>
                              <w:b/>
                              <w:i/>
                              <w:i/>
                              <w:smallCaps/>
                              <w:sz w:val="32"/>
                              <w:u w:val="single"/>
                            </w:rPr>
                          </w:pPr>
                          <w:r>
                            <w:rPr>
                              <w:rFonts w:cs="Times New Roman" w:ascii="Times New Roman" w:hAnsi="Times New Roman"/>
                              <w:b/>
                              <w:smallCaps/>
                              <w:sz w:val="32"/>
                            </w:rPr>
                            <w:t>privileged and</w:t>
                          </w:r>
                        </w:p>
                        <w:p>
                          <w:pPr>
                            <w:pStyle w:val="Normal"/>
                            <w:ind w:start="2430" w:end="-915"/>
                            <w:jc w:val="both"/>
                            <w:rPr>
                              <w:rFonts w:ascii="Times New Roman" w:hAnsi="Times New Roman" w:cs="Times New Roman"/>
                              <w:b/>
                              <w:i/>
                              <w:i/>
                              <w:smallCaps/>
                              <w:sz w:val="32"/>
                              <w:u w:val="single"/>
                            </w:rPr>
                          </w:pPr>
                          <w:r>
                            <w:rPr>
                              <w:rFonts w:cs="Times New Roman" w:ascii="Times New Roman" w:hAnsi="Times New Roman"/>
                              <w:b/>
                              <w:smallCaps/>
                              <w:sz w:val="32"/>
                            </w:rPr>
                            <w:t>confidential</w:t>
                          </w:r>
                        </w:p>
                      </w:txbxContent>
                    </wps:txbx>
                    <wps:bodyPr anchor="t" lIns="0" tIns="0" rIns="0" bIns="0">
                      <a:noAutofit/>
                    </wps:bodyPr>
                  </wps:wsp>
                </a:graphicData>
              </a:graphic>
            </wp:anchor>
          </w:drawing>
        </mc:Choice>
        <mc:Fallback>
          <w:pict>
            <v:rect fillcolor="#FFFFFF" style="position:absolute;rotation:-0;width:305.3pt;height:73.8pt;mso-wrap-distance-left:9.35pt;mso-wrap-distance-right:9.35pt;mso-wrap-distance-top:0pt;mso-wrap-distance-bottom:0pt;margin-top:-35.4pt;mso-position-vertical-relative:text;margin-left:259.55pt;mso-position-horizontal-relative:page">
              <v:fill opacity="0f"/>
              <v:textbox inset="0in,0in,0in,0in">
                <w:txbxContent>
                  <w:p>
                    <w:pPr>
                      <w:pStyle w:val="Normal"/>
                      <w:ind w:start="2430" w:end="-915"/>
                      <w:jc w:val="both"/>
                      <w:rPr>
                        <w:rFonts w:ascii="Times New Roman" w:hAnsi="Times New Roman" w:cs="Times New Roman"/>
                        <w:b/>
                        <w:smallCaps/>
                        <w:sz w:val="32"/>
                      </w:rPr>
                    </w:pPr>
                    <w:r>
                      <w:rPr>
                        <w:rFonts w:cs="Times New Roman" w:ascii="Times New Roman" w:hAnsi="Times New Roman"/>
                        <w:b/>
                        <w:smallCaps/>
                        <w:sz w:val="32"/>
                      </w:rPr>
                    </w:r>
                  </w:p>
                  <w:p>
                    <w:pPr>
                      <w:pStyle w:val="Normal"/>
                      <w:ind w:start="2430" w:end="-915"/>
                      <w:jc w:val="both"/>
                      <w:rPr>
                        <w:rFonts w:ascii="Times New Roman" w:hAnsi="Times New Roman" w:cs="Times New Roman"/>
                        <w:b/>
                        <w:smallCaps/>
                        <w:sz w:val="32"/>
                      </w:rPr>
                    </w:pPr>
                    <w:r>
                      <w:rPr>
                        <w:rFonts w:cs="Times New Roman" w:ascii="Times New Roman" w:hAnsi="Times New Roman"/>
                        <w:b/>
                        <w:smallCaps/>
                        <w:sz w:val="32"/>
                      </w:rPr>
                    </w:r>
                  </w:p>
                  <w:p>
                    <w:pPr>
                      <w:pStyle w:val="Normal"/>
                      <w:ind w:start="2430" w:end="-915"/>
                      <w:jc w:val="both"/>
                      <w:rPr>
                        <w:rFonts w:ascii="Times New Roman" w:hAnsi="Times New Roman" w:cs="Times New Roman"/>
                        <w:b/>
                        <w:i/>
                        <w:i/>
                        <w:smallCaps/>
                        <w:sz w:val="32"/>
                        <w:u w:val="single"/>
                      </w:rPr>
                    </w:pPr>
                    <w:r>
                      <w:rPr>
                        <w:rFonts w:cs="Times New Roman" w:ascii="Times New Roman" w:hAnsi="Times New Roman"/>
                        <w:b/>
                        <w:smallCaps/>
                        <w:sz w:val="32"/>
                      </w:rPr>
                      <w:t>privileged and</w:t>
                    </w:r>
                  </w:p>
                  <w:p>
                    <w:pPr>
                      <w:pStyle w:val="Normal"/>
                      <w:ind w:start="2430" w:end="-915"/>
                      <w:jc w:val="both"/>
                      <w:rPr>
                        <w:rFonts w:ascii="Times New Roman" w:hAnsi="Times New Roman" w:cs="Times New Roman"/>
                        <w:b/>
                        <w:i/>
                        <w:i/>
                        <w:smallCaps/>
                        <w:sz w:val="32"/>
                        <w:u w:val="single"/>
                      </w:rPr>
                    </w:pPr>
                    <w:r>
                      <w:rPr>
                        <w:rFonts w:cs="Times New Roman" w:ascii="Times New Roman" w:hAnsi="Times New Roman"/>
                        <w:b/>
                        <w:smallCaps/>
                        <w:sz w:val="32"/>
                      </w:rPr>
                      <w:t>confidential</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540"/>
        </w:tabs>
        <w:ind w:start="540" w:hanging="54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tabs>
        <w:tab w:val="left" w:pos="540" w:leader="none"/>
        <w:tab w:val="left" w:pos="1344" w:leader="none"/>
        <w:tab w:val="left" w:pos="5106" w:leader="none"/>
        <w:tab w:val="left" w:pos="7254"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BodyTextIndent">
    <w:name w:val="Body Text Indent"/>
    <w:basedOn w:val="Normal"/>
    <w:pPr>
      <w:tabs>
        <w:tab w:val="clear" w:pos="540"/>
        <w:tab w:val="left" w:pos="1344" w:leader="none"/>
        <w:tab w:val="left" w:pos="5106" w:leader="none"/>
        <w:tab w:val="left" w:pos="7254" w:leader="none"/>
      </w:tabs>
      <w:ind w:hanging="0" w:start="576"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ECTMEMO.DOT</Template>
  <TotalTime>100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2001-05-31T18:30:00Z</dcterms:created>
  <dc:creator>appinst</dc:creator>
  <dc:description/>
  <dc:language>en-CA</dc:language>
  <cp:lastModifiedBy>rgeorge</cp:lastModifiedBy>
  <cp:lastPrinted>2001-05-31T17:19:00Z</cp:lastPrinted>
  <dcterms:modified xsi:type="dcterms:W3CDTF">2001-06-01T11:41:00Z</dcterms:modified>
  <cp:revision>10</cp:revision>
  <dc:subject/>
  <dc:title> </dc:title>
</cp:coreProperties>
</file>