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rFonts w:eastAsia="Arial"/>
          <w:sz w:val="20"/>
        </w:rPr>
        <w:t xml:space="preserve">      </w:t>
      </w: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rFonts w:ascii="Arial Black" w:hAnsi="Arial Black" w:cs="Arial Black"/>
          <w:sz w:val="16"/>
        </w:rPr>
      </w:pPr>
      <w:r>
        <w:rPr>
          <w:rFonts w:cs="Arial Black" w:ascii="Arial Black" w:hAnsi="Arial Black"/>
          <w:sz w:val="16"/>
        </w:rPr>
        <w:t>Natural Gas</w:t>
      </w:r>
    </w:p>
    <w:p>
      <w:pPr>
        <w:pStyle w:val="Heading"/>
        <w:rPr>
          <w:rFonts w:ascii="Arial Black" w:hAnsi="Arial Black" w:cs="Arial Black"/>
          <w:sz w:val="16"/>
        </w:rPr>
      </w:pPr>
      <w:r>
        <w:rPr>
          <w:rFonts w:cs="Arial Black" w:ascii="Arial Black" w:hAnsi="Arial Black"/>
          <w:sz w:val="16"/>
        </w:rPr>
        <w:t>Electricity and</w:t>
      </w:r>
    </w:p>
    <w:p>
      <w:pPr>
        <w:pStyle w:val="Normal"/>
        <w:rPr>
          <w:b/>
          <w:sz w:val="32"/>
          <w:u w:val="single"/>
        </w:rPr>
      </w:pPr>
      <w:r>
        <w:rPr>
          <w:rFonts w:cs="Arial Black" w:ascii="Arial Black" w:hAnsi="Arial Black"/>
          <w:b/>
          <w:sz w:val="16"/>
        </w:rPr>
        <w:t>Endless Possibilities</w:t>
        <w:tab/>
        <w:tab/>
        <w:tab/>
        <w:tab/>
        <w:tab/>
        <w:tab/>
        <w:tab/>
      </w:r>
    </w:p>
    <w:p>
      <w:pPr>
        <w:pStyle w:val="Normal"/>
        <w:ind w:start="6390" w:end="0"/>
        <w:rPr>
          <w:b/>
          <w:sz w:val="20"/>
          <w:u w:val="single"/>
        </w:rPr>
      </w:pPr>
      <w:r>
        <w:rPr>
          <w:b/>
          <w:sz w:val="20"/>
          <w:u w:val="single"/>
        </w:rPr>
      </w:r>
    </w:p>
    <w:tbl>
      <w:tblPr>
        <w:tblW w:w="9828" w:type="dxa"/>
        <w:jc w:val="start"/>
        <w:tblInd w:w="0" w:type="dxa"/>
        <w:tblLayout w:type="fixed"/>
        <w:tblCellMar>
          <w:top w:w="0" w:type="dxa"/>
          <w:start w:w="108" w:type="dxa"/>
          <w:bottom w:w="0" w:type="dxa"/>
          <w:end w:w="108" w:type="dxa"/>
        </w:tblCellMar>
      </w:tblPr>
      <w:tblGrid>
        <w:gridCol w:w="1569"/>
        <w:gridCol w:w="3762"/>
        <w:gridCol w:w="1887"/>
        <w:gridCol w:w="261"/>
        <w:gridCol w:w="2169"/>
        <w:gridCol w:w="180"/>
      </w:tblGrid>
      <w:tr>
        <w:trPr/>
        <w:tc>
          <w:tcPr>
            <w:tcW w:w="1569" w:type="dxa"/>
            <w:tcBorders/>
          </w:tcPr>
          <w:p>
            <w:pPr>
              <w:pStyle w:val="Normal"/>
              <w:rPr>
                <w:b/>
              </w:rPr>
            </w:pPr>
            <w:r>
              <w:rPr>
                <w:b/>
              </w:rPr>
              <w:t>TO:</w:t>
            </w:r>
          </w:p>
        </w:tc>
        <w:tc>
          <w:tcPr>
            <w:tcW w:w="3762" w:type="dxa"/>
            <w:tcBorders/>
          </w:tcPr>
          <w:p>
            <w:pPr>
              <w:pStyle w:val="Normal"/>
              <w:rPr/>
            </w:pPr>
            <w:r>
              <w:rPr/>
              <w:t>Mark Haedicke</w:t>
            </w:r>
          </w:p>
          <w:p>
            <w:pPr>
              <w:pStyle w:val="Normal"/>
              <w:rPr/>
            </w:pPr>
            <w:r>
              <w:rPr/>
              <w:t>Lance Schuler</w:t>
            </w:r>
          </w:p>
          <w:p>
            <w:pPr>
              <w:pStyle w:val="Normal"/>
              <w:rPr/>
            </w:pPr>
            <w:r>
              <w:rPr/>
            </w:r>
          </w:p>
        </w:tc>
        <w:tc>
          <w:tcPr>
            <w:tcW w:w="2148" w:type="dxa"/>
            <w:gridSpan w:val="2"/>
            <w:tcBorders/>
          </w:tcPr>
          <w:p>
            <w:pPr>
              <w:pStyle w:val="Normal"/>
              <w:snapToGrid w:val="false"/>
              <w:rPr/>
            </w:pPr>
            <w:r>
              <w:rPr/>
            </w:r>
          </w:p>
        </w:tc>
        <w:tc>
          <w:tcPr>
            <w:tcW w:w="2169" w:type="dxa"/>
            <w:tcBorders/>
          </w:tcPr>
          <w:p>
            <w:pPr>
              <w:pStyle w:val="Normal"/>
              <w:snapToGrid w:val="false"/>
              <w:rPr/>
            </w:pPr>
            <w:r>
              <w:rPr/>
            </w:r>
          </w:p>
        </w:tc>
        <w:tc>
          <w:tcPr>
            <w:tcW w:w="180" w:type="dxa"/>
            <w:tcBorders/>
            <w:tcMar>
              <w:start w:w="0" w:type="dxa"/>
              <w:end w:w="0" w:type="dxa"/>
            </w:tcMar>
          </w:tcPr>
          <w:p>
            <w:pPr>
              <w:pStyle w:val="Normal"/>
              <w:snapToGrid w:val="false"/>
              <w:rPr/>
            </w:pPr>
            <w:r>
              <w:rPr/>
            </w:r>
          </w:p>
        </w:tc>
      </w:tr>
      <w:tr>
        <w:trPr/>
        <w:tc>
          <w:tcPr>
            <w:tcW w:w="1569" w:type="dxa"/>
            <w:tcBorders/>
          </w:tcPr>
          <w:p>
            <w:pPr>
              <w:pStyle w:val="Normal"/>
              <w:rPr>
                <w:b/>
              </w:rPr>
            </w:pPr>
            <w:r>
              <w:rPr>
                <w:b/>
              </w:rPr>
              <w:t>FROM:</w:t>
            </w:r>
          </w:p>
        </w:tc>
        <w:tc>
          <w:tcPr>
            <w:tcW w:w="3762" w:type="dxa"/>
            <w:tcBorders/>
          </w:tcPr>
          <w:p>
            <w:pPr>
              <w:pStyle w:val="Normal"/>
              <w:rPr/>
            </w:pPr>
            <w:r>
              <w:rPr/>
              <w:t>Robert George</w:t>
            </w:r>
          </w:p>
        </w:tc>
        <w:tc>
          <w:tcPr>
            <w:tcW w:w="2148" w:type="dxa"/>
            <w:gridSpan w:val="2"/>
            <w:tcBorders/>
          </w:tcPr>
          <w:p>
            <w:pPr>
              <w:pStyle w:val="Normal"/>
              <w:rPr>
                <w:b/>
              </w:rPr>
            </w:pPr>
            <w:r>
              <w:rPr>
                <w:b/>
              </w:rPr>
              <w:t>DEPARTMENT:</w:t>
            </w:r>
          </w:p>
        </w:tc>
        <w:tc>
          <w:tcPr>
            <w:tcW w:w="2169" w:type="dxa"/>
            <w:tcBorders/>
          </w:tcPr>
          <w:p>
            <w:pPr>
              <w:pStyle w:val="Normal"/>
              <w:rPr/>
            </w:pPr>
            <w:r>
              <w:rPr/>
              <w:t>ENA Legal</w:t>
            </w:r>
          </w:p>
        </w:tc>
        <w:tc>
          <w:tcPr>
            <w:tcW w:w="180" w:type="dxa"/>
            <w:tcBorders/>
            <w:tcMar>
              <w:start w:w="0" w:type="dxa"/>
              <w:end w:w="0" w:type="dxa"/>
            </w:tcMar>
          </w:tcPr>
          <w:p>
            <w:pPr>
              <w:pStyle w:val="Normal"/>
              <w:snapToGrid w:val="false"/>
              <w:rPr/>
            </w:pPr>
            <w:r>
              <w:rPr/>
            </w:r>
          </w:p>
        </w:tc>
      </w:tr>
      <w:tr>
        <w:trPr/>
        <w:tc>
          <w:tcPr>
            <w:tcW w:w="1569" w:type="dxa"/>
            <w:tcBorders/>
          </w:tcPr>
          <w:p>
            <w:pPr>
              <w:pStyle w:val="Normal"/>
              <w:snapToGrid w:val="false"/>
              <w:rPr>
                <w:b/>
              </w:rPr>
            </w:pPr>
            <w:r>
              <w:rPr>
                <w:b/>
              </w:rPr>
            </w:r>
          </w:p>
        </w:tc>
        <w:tc>
          <w:tcPr>
            <w:tcW w:w="3762" w:type="dxa"/>
            <w:tcBorders/>
          </w:tcPr>
          <w:p>
            <w:pPr>
              <w:pStyle w:val="Normal"/>
              <w:snapToGrid w:val="false"/>
              <w:rPr>
                <w:b/>
              </w:rPr>
            </w:pPr>
            <w:r>
              <w:rPr>
                <w:b/>
              </w:rPr>
            </w:r>
          </w:p>
        </w:tc>
        <w:tc>
          <w:tcPr>
            <w:tcW w:w="2148" w:type="dxa"/>
            <w:gridSpan w:val="2"/>
            <w:tcBorders/>
          </w:tcPr>
          <w:p>
            <w:pPr>
              <w:pStyle w:val="Normal"/>
              <w:snapToGrid w:val="false"/>
              <w:rPr>
                <w:b/>
              </w:rPr>
            </w:pPr>
            <w:r>
              <w:rPr>
                <w:b/>
              </w:rPr>
            </w:r>
          </w:p>
        </w:tc>
        <w:tc>
          <w:tcPr>
            <w:tcW w:w="2169" w:type="dxa"/>
            <w:tcBorders/>
          </w:tcPr>
          <w:p>
            <w:pPr>
              <w:pStyle w:val="Normal"/>
              <w:snapToGrid w:val="false"/>
              <w:rPr>
                <w:b/>
              </w:rPr>
            </w:pPr>
            <w:r>
              <w:rPr>
                <w:b/>
              </w:rPr>
            </w:r>
          </w:p>
        </w:tc>
        <w:tc>
          <w:tcPr>
            <w:tcW w:w="180" w:type="dxa"/>
            <w:tcBorders/>
            <w:tcMar>
              <w:start w:w="0" w:type="dxa"/>
              <w:end w:w="0" w:type="dxa"/>
            </w:tcMar>
          </w:tcPr>
          <w:p>
            <w:pPr>
              <w:pStyle w:val="Normal"/>
              <w:snapToGrid w:val="false"/>
              <w:rPr/>
            </w:pPr>
            <w:r>
              <w:rPr/>
            </w:r>
          </w:p>
        </w:tc>
      </w:tr>
      <w:tr>
        <w:trPr/>
        <w:tc>
          <w:tcPr>
            <w:tcW w:w="1569" w:type="dxa"/>
            <w:tcBorders>
              <w:bottom w:val="single" w:sz="18" w:space="0" w:color="000000"/>
            </w:tcBorders>
          </w:tcPr>
          <w:p>
            <w:pPr>
              <w:pStyle w:val="Normal"/>
              <w:rPr>
                <w:b/>
              </w:rPr>
            </w:pPr>
            <w:r>
              <w:rPr>
                <w:b/>
              </w:rPr>
              <w:t>SUBJECT:</w:t>
            </w:r>
          </w:p>
        </w:tc>
        <w:tc>
          <w:tcPr>
            <w:tcW w:w="3762" w:type="dxa"/>
            <w:tcBorders>
              <w:bottom w:val="single" w:sz="18" w:space="0" w:color="000000"/>
            </w:tcBorders>
          </w:tcPr>
          <w:p>
            <w:pPr>
              <w:pStyle w:val="Normal"/>
              <w:rPr/>
            </w:pPr>
            <w:r>
              <w:rPr/>
              <w:t>Purchase of Preferred Shares of Serveron Corporation</w:t>
            </w:r>
          </w:p>
        </w:tc>
        <w:tc>
          <w:tcPr>
            <w:tcW w:w="1887" w:type="dxa"/>
            <w:tcBorders>
              <w:bottom w:val="single" w:sz="18" w:space="0" w:color="000000"/>
            </w:tcBorders>
          </w:tcPr>
          <w:p>
            <w:pPr>
              <w:pStyle w:val="Normal"/>
              <w:rPr>
                <w:b/>
              </w:rPr>
            </w:pPr>
            <w:r>
              <w:rPr>
                <w:b/>
              </w:rPr>
              <w:t>DATE:</w:t>
            </w:r>
          </w:p>
        </w:tc>
        <w:tc>
          <w:tcPr>
            <w:tcW w:w="2610" w:type="dxa"/>
            <w:gridSpan w:val="3"/>
            <w:tcBorders>
              <w:bottom w:val="single" w:sz="18" w:space="0" w:color="000000"/>
            </w:tcBorders>
          </w:tcPr>
          <w:p>
            <w:pPr>
              <w:pStyle w:val="Normal"/>
              <w:rPr/>
            </w:pPr>
            <w:r>
              <w:rPr/>
              <w:t>March 22, 2001</w:t>
            </w:r>
          </w:p>
          <w:p>
            <w:pPr>
              <w:pStyle w:val="Normal"/>
              <w:rPr/>
            </w:pPr>
            <w:r>
              <w:rPr/>
            </w:r>
          </w:p>
        </w:tc>
      </w:tr>
    </w:tbl>
    <w:p>
      <w:pPr>
        <w:pStyle w:val="Normal"/>
        <w:tabs>
          <w:tab w:val="left" w:pos="540" w:leader="none"/>
          <w:tab w:val="left" w:pos="1344" w:leader="none"/>
          <w:tab w:val="left" w:pos="5106" w:leader="none"/>
          <w:tab w:val="left" w:pos="7254" w:leader="none"/>
        </w:tabs>
        <w:jc w:val="both"/>
        <w:rPr/>
      </w:pPr>
      <w:r>
        <w:rPr/>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b/>
          <w:bCs/>
          <w:sz w:val="22"/>
        </w:rPr>
      </w:pPr>
      <w:r>
        <w:rPr>
          <w:b/>
          <w:bCs/>
          <w:sz w:val="22"/>
        </w:rPr>
        <w:t>Legal Risk Rating =  3 (on a scale of 1 to 5, with 5 representing the greatest degree of risk)</w:t>
      </w:r>
    </w:p>
    <w:p>
      <w:pPr>
        <w:pStyle w:val="Normal"/>
        <w:tabs>
          <w:tab w:val="left" w:pos="540" w:leader="none"/>
          <w:tab w:val="left" w:pos="1344" w:leader="none"/>
          <w:tab w:val="left" w:pos="5106" w:leader="none"/>
          <w:tab w:val="left" w:pos="7254" w:leader="none"/>
        </w:tabs>
        <w:jc w:val="both"/>
        <w:rPr>
          <w:b/>
          <w:bCs/>
          <w:sz w:val="22"/>
        </w:rPr>
      </w:pPr>
      <w:r>
        <w:rPr>
          <w:b/>
          <w:bCs/>
          <w:sz w:val="22"/>
        </w:rPr>
      </w:r>
    </w:p>
    <w:p>
      <w:pPr>
        <w:pStyle w:val="BodyText"/>
        <w:rPr>
          <w:sz w:val="22"/>
        </w:rPr>
      </w:pPr>
      <w:r>
        <w:rPr>
          <w:sz w:val="22"/>
        </w:rPr>
        <w:t xml:space="preserve">ENA’s principal investments group is proposing a purchase of 7,400,000 Series C Preferred Shares of Serveron Corporation (“Serveron”) for $3,700,000.  The investment by ENA is expected to represent a 15.84% equity interest in Serveron on a fully diluted basis, have preferred liquidation rights and automatically convert to common stock upon the occurrence of IPO which includes these shares and generates an offering price of at least 3 times the purchase price.  The purchase is part of an expected $12 million in new equity being issued by the company to ENA and other venture capital providers.   Serveron’s 37 employees provide monitoring technology and services to electricity utilities and others who benefit from having information about the degradation of their electric transformers and fuel cells.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The unusual legal risks identified with the securities aspects of this transaction are as follows: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pPr>
      <w:r>
        <w:rPr>
          <w:sz w:val="22"/>
        </w:rPr>
        <w:t>1.</w:t>
        <w:tab/>
      </w:r>
      <w:r>
        <w:rPr>
          <w:sz w:val="22"/>
          <w:u w:val="single"/>
        </w:rPr>
        <w:t>Legal Due Diligence</w:t>
      </w:r>
      <w:r>
        <w:rPr>
          <w:sz w:val="22"/>
        </w:rPr>
        <w:t>.  Very few of Serveron’s contracts have received a legal review and what little corporate due diligence that has been done has been performed by counsel for one of the other Series C investors.  Subject to certain exceptions highlighted in Serveron’s disclosure schedules, however, we are receiving the typical outside legal opinions and representations from Serveron typical of those given to us in these types of financings in the past.  Among other things, the exceptions so far disclosed by Serveron identify the existence of potential disputes with former shareholders, possibly significant loan agreements and distribution agreements, unassigned patents and other matters that may have potentially negative consequences on Serveron’s future performance and/or the exercise of our rights.   Because one of the investors has had their counsel act as lead counsel for the investors, we believe that some due diligence has been done, but we (and our outside counsel) are to a large degree relying on this work and the opinion of Serveron’s counsel for comfort on a variety of matters.</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Investor’s Rights Agreement</w:t>
      </w:r>
      <w:r>
        <w:rPr>
          <w:sz w:val="22"/>
        </w:rPr>
        <w:t xml:space="preserve">.  The Series C investors in this transaction have requested certain rights in this transaction which will require modifications to the registration rights and other rights contained in the existing agreements currently in place with other Serveron shareholders.  Rather than obtaining the approval of all shareholders, these agreements are being amended and/or terminated in accordance with the minimum approval requirements set  forth in these agreements.  Serveron and its counsel are relying on the minimum approval provisions in these agreements to make the representations on which ENA’s investment is conditioned.  Nevertheless, it should be noted that at least one existing Serveron shareholder has indicated that he intends to dispute certain actions being taken by the Company in connection the pre-closing merger on which ENA’s investment is conditioned.  </w:t>
      </w:r>
    </w:p>
    <w:p>
      <w:pPr>
        <w:pStyle w:val="Normal"/>
        <w:tabs>
          <w:tab w:val="clear" w:pos="540"/>
          <w:tab w:val="left" w:pos="1344" w:leader="none"/>
          <w:tab w:val="left" w:pos="5106" w:leader="none"/>
          <w:tab w:val="left" w:pos="7254" w:leader="none"/>
        </w:tabs>
        <w:jc w:val="both"/>
        <w:rPr>
          <w:sz w:val="22"/>
          <w:u w:val="single"/>
        </w:rPr>
      </w:pPr>
      <w:r>
        <w:rPr>
          <w:sz w:val="22"/>
          <w:u w:val="single"/>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Market Stand-Off</w:t>
      </w:r>
      <w:r>
        <w:rPr>
          <w:sz w:val="22"/>
        </w:rPr>
        <w:t>.  Among the other obligations assumed with our purchase of the Series C preferred shares is a commitment not to sell any of the issuer’s securities for the 180 days following an IPO and for the 90 days following any other offering.  This commitment excludes common stock covered by the registration.  Under the Investor’s Rights Agreement, the common shares converted by Series C investors can avoid this restriction by piggybacking on, or demanding on their own, the registration of the offered shares.  However, under circumstances where the underwriter for the offering limits the size of the offering, some of the common shares resulting from a conversion of the Series C shares might not be included in the offering.</w:t>
      </w:r>
    </w:p>
    <w:p>
      <w:pPr>
        <w:pStyle w:val="Normal"/>
        <w:tabs>
          <w:tab w:val="clear" w:pos="540"/>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Other Transferability Limitations</w:t>
      </w:r>
      <w:r>
        <w:rPr>
          <w:sz w:val="22"/>
        </w:rPr>
        <w:t xml:space="preserve">.  The preferred shares issued in this transaction are “restricted securities” within the meaning of Rule 144 of the Securities Act and as a result will be transferable only pursuant to an effective registration statement filed with the SEC or an applicable exemption from such registration requirements.  In addition, the issuer is not public and has yet to register any of its securities with the SEC.  However, as noted above the shares are being made subject to the provisions of the Investor’s Rights Agreement governing our Series C Preferred Shares and thus Enron will be allowed to piggyback on the registration of the issuer’s securities under certain circumstances.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Insider Trading</w:t>
      </w:r>
      <w:r>
        <w:rPr>
          <w:sz w:val="22"/>
        </w:rPr>
        <w:t xml:space="preserve">.  Because the transaction with Serveron will make affiliates and employees of Enron privy to a certain amount of non-public information regarding Serveron, future efforts to transfer our shares may be subject to insider trading restrictions.  Accordingly, should we decide in the future to transfer these securities, we may need to take measures in the future to insure that those involved in the transfer are not tainted by our ongoing relationship with Serveron.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cc:  </w:t>
        <w:tab/>
        <w:t>Kevin Kuykendall</w:t>
      </w:r>
    </w:p>
    <w:p>
      <w:pPr>
        <w:pStyle w:val="Normal"/>
        <w:tabs>
          <w:tab w:val="left" w:pos="540" w:leader="none"/>
          <w:tab w:val="left" w:pos="1344" w:leader="none"/>
          <w:tab w:val="left" w:pos="5106" w:leader="none"/>
          <w:tab w:val="left" w:pos="7254" w:leader="none"/>
        </w:tabs>
        <w:jc w:val="both"/>
        <w:rPr>
          <w:sz w:val="22"/>
        </w:rPr>
      </w:pPr>
      <w:r>
        <w:rPr>
          <w:sz w:val="22"/>
        </w:rPr>
        <w:tab/>
        <w:t>Jennifer Adams</w:t>
      </w:r>
    </w:p>
    <w:p>
      <w:pPr>
        <w:pStyle w:val="Normal"/>
        <w:tabs>
          <w:tab w:val="left" w:pos="540" w:leader="none"/>
          <w:tab w:val="left" w:pos="1344" w:leader="none"/>
          <w:tab w:val="left" w:pos="5106" w:leader="none"/>
          <w:tab w:val="left" w:pos="7254" w:leader="none"/>
        </w:tabs>
        <w:jc w:val="both"/>
        <w:rPr>
          <w:sz w:val="22"/>
        </w:rPr>
      </w:pPr>
      <w:r>
        <w:rPr>
          <w:sz w:val="22"/>
        </w:rPr>
        <w:tab/>
        <w:t>Michael Miller</w:t>
      </w:r>
    </w:p>
    <w:p>
      <w:pPr>
        <w:pStyle w:val="Normal"/>
        <w:tabs>
          <w:tab w:val="left" w:pos="540" w:leader="none"/>
          <w:tab w:val="left" w:pos="1344" w:leader="none"/>
          <w:tab w:val="left" w:pos="5106" w:leader="none"/>
          <w:tab w:val="left" w:pos="7254" w:leader="none"/>
        </w:tabs>
        <w:jc w:val="both"/>
        <w:rPr>
          <w:sz w:val="22"/>
        </w:rPr>
      </w:pPr>
      <w:r>
        <w:rPr>
          <w:sz w:val="22"/>
        </w:rPr>
        <w:tab/>
        <w:t>John Lavorato</w:t>
      </w:r>
    </w:p>
    <w:p>
      <w:pPr>
        <w:pStyle w:val="Normal"/>
        <w:tabs>
          <w:tab w:val="left" w:pos="540" w:leader="none"/>
          <w:tab w:val="left" w:pos="1344" w:leader="none"/>
          <w:tab w:val="left" w:pos="5106" w:leader="none"/>
          <w:tab w:val="left" w:pos="7254" w:leader="none"/>
        </w:tabs>
        <w:jc w:val="both"/>
        <w:rPr>
          <w:sz w:val="22"/>
        </w:rPr>
      </w:pPr>
      <w:r>
        <w:rPr>
          <w:sz w:val="22"/>
        </w:rPr>
        <w:tab/>
      </w:r>
    </w:p>
    <w:p>
      <w:pPr>
        <w:pStyle w:val="Normal"/>
        <w:tabs>
          <w:tab w:val="left" w:pos="540" w:leader="none"/>
          <w:tab w:val="left" w:pos="1344" w:leader="none"/>
          <w:tab w:val="left" w:pos="5106" w:leader="none"/>
          <w:tab w:val="left" w:pos="7254" w:leader="none"/>
        </w:tabs>
        <w:jc w:val="both"/>
        <w:rPr>
          <w:sz w:val="22"/>
        </w:rPr>
      </w:pPr>
      <w:r>
        <w:rPr>
          <w:sz w:val="22"/>
        </w:rPr>
      </w:r>
    </w:p>
    <w:sectPr>
      <w:headerReference w:type="default" r:id="rId3"/>
      <w:headerReference w:type="first" r:id="rId4"/>
      <w:footerReference w:type="default" r:id="rId5"/>
      <w:footerReference w:type="first" r:id="rId6"/>
      <w:type w:val="nextPage"/>
      <w:pgSz w:w="12240" w:h="15840"/>
      <w:pgMar w:left="1152" w:right="1440" w:gutter="0" w:header="1152"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2</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0" w:name="StartOfMemo"/>
    <w:bookmarkStart w:id="1" w:name="StartOfMemo"/>
    <w:bookmarkEnd w:id="1"/>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3296285</wp:posOffset>
              </wp:positionH>
              <wp:positionV relativeFrom="paragraph">
                <wp:posOffset>-449580</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35.4pt;mso-position-vertical-relative:text;margin-left:259.55pt;mso-position-horizontal-relative:page">
              <v:fill opacity="0f"/>
              <v:textbox inset="0in,0in,0in,0in">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540" w:leader="none"/>
        <w:tab w:val="left" w:pos="1344" w:leader="none"/>
        <w:tab w:val="left" w:pos="5106" w:leader="none"/>
        <w:tab w:val="left" w:pos="72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 w:val="left" w:pos="1344" w:leader="none"/>
        <w:tab w:val="left" w:pos="5106" w:leader="none"/>
        <w:tab w:val="left" w:pos="7254" w:leader="none"/>
      </w:tabs>
      <w:ind w:hanging="0" w:start="576"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2001-03-22T16:43:00Z</dcterms:created>
  <dc:creator>appinst</dc:creator>
  <dc:description/>
  <dc:language>en-CA</dc:language>
  <cp:lastModifiedBy>rgeorge</cp:lastModifiedBy>
  <cp:lastPrinted>2001-02-12T16:17:00Z</cp:lastPrinted>
  <dcterms:modified xsi:type="dcterms:W3CDTF">2001-03-22T19:26:00Z</dcterms:modified>
  <cp:revision>9</cp:revision>
  <dc:subject/>
  <dc:title> </dc:title>
</cp:coreProperties>
</file>