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FUNDAMENTAL STANDARDS FOR RISK MANAGEMENT</w:t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/>
      </w:pPr>
      <w:r>
        <w:rPr/>
        <w:t>A trading business will only operate efficiently and effectively in the long term if it implements the below six fundamental control standards.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1)</w:t>
        <w:tab/>
        <w:t>All transactions must be recorded accurately and timely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transactions are input into the appropriate risk system on date of trade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transactions are recorded with 100% accuracy and valued appropriately in an approved risk system for the applicable product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risk dis-aggregation for structured trades should be signed off jointly by both commercial and commercial support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2)</w:t>
        <w:tab/>
        <w:t>Daily Management P&amp;L and Position reporting must be accurate and timely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reports are 100% accurate at time of issuance (no revisions)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daily positions and P&amp;L are approved and signed off by commercial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reports are issued on next day of trading at a time agreed by both commercial and commercial support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trading limit violations are noted and communicated to management on next day of trading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3)</w:t>
        <w:tab/>
        <w:t>Confirmation and execution of transactions must occur accurately and timely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all brokered trades are agreed with brokers on the day following trade date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confirmations are sent to/received from counterparties within 24 hours of trade execution and are agreed to the risk management system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confirmations are executed with the counterparty within 7 days of trade date with exceptions noted and communicated to management along with an assessment of the level of risk for non-execution (ie. Master Agreement in place, number of trades unexecuted)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4)</w:t>
        <w:tab/>
        <w:t>Settlements with counterparties must occur accurately and timely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invoices/payments must agree with contractual terms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all disputed invoices/payments sent to/received from counterparties are resolved within 30 days of dispute date with material exceptions noted and communicated to management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overdue cash collections are followed up with counterparties within 48 hours of due date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720" w:start="720" w:end="0"/>
        <w:jc w:val="both"/>
        <w:rPr>
          <w:b/>
        </w:rPr>
      </w:pPr>
      <w:r>
        <w:rPr>
          <w:b/>
        </w:rPr>
        <w:t>5)</w:t>
        <w:tab/>
        <w:t>Risk management and settlement system information must be completed and accurately reflected within the appropriate general ledger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there must be a complete and transparent link between risk system information and the business balance sheet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all balance sheet adjustments for liquidations, accruals, receivables and payables must be based upon accurate third party/independent data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all general ledger accounts are reconciled and outstanding items cleared within 7 business days after the month-end close</w:t>
        <w:tab/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</w:rPr>
      </w:pPr>
      <w:r>
        <w:rPr>
          <w:b/>
        </w:rPr>
        <w:t>6)</w:t>
        <w:tab/>
        <w:t>The appropriate business and control infrastructure must be implemented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the Commercial and Operations heads have joint accountability to ensure operating standards are met</w:t>
      </w:r>
    </w:p>
    <w:p>
      <w:pPr>
        <w:pStyle w:val="Normal"/>
        <w:ind w:hanging="720" w:start="1440" w:end="0"/>
        <w:jc w:val="both"/>
        <w:rPr>
          <w:b/>
        </w:rPr>
      </w:pPr>
      <w:r>
        <w:rPr/>
        <w:t>-</w:t>
        <w:tab/>
        <w:t xml:space="preserve">there must be segregation, communication and monitoring of functional responsibilities for Execution (Commercial), Controls (Commercial Support) and Review (RAC) within a business, across related businesses and across offices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global databases are in place and updated to accommodate trading/origination activities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trading limits have been approved and authorised by Enron Management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credit limits have been defined and approved by Enron Management and capabilities to monitor and report credit exposure by counterparty in place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 approval process has been defined and communicated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full functionality and interfaces for market risk, credit risk and corporate reporting must exist and/or a systems roadmap for that development should be available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there must be appropriate involvement in the business for specialist services (Legal, Tax and HR)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there is sufficient resourcing both in quality and quantity for all business processes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701" w:gutter="0" w:header="0" w:top="624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2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2000-07-17T16:19:00Z</dcterms:created>
  <dc:creator>fmcnaugh</dc:creator>
  <dc:description/>
  <dc:language>en-CA</dc:language>
  <cp:lastModifiedBy>mjordan2</cp:lastModifiedBy>
  <cp:lastPrinted>2000-07-17T12:16:00Z</cp:lastPrinted>
  <dcterms:modified xsi:type="dcterms:W3CDTF">2000-07-17T16:19:00Z</dcterms:modified>
  <cp:revision>2</cp:revision>
  <dc:subject/>
  <dc:title>FUNDAMENTAL OPERATING STANDARDS</dc:title>
</cp:coreProperties>
</file>