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680" w:type="dxa"/>
        <w:jc w:val="start"/>
        <w:tblInd w:w="18" w:type="dxa"/>
        <w:tblLayout w:type="fixed"/>
        <w:tblCellMar>
          <w:top w:w="0" w:type="dxa"/>
          <w:start w:w="108" w:type="dxa"/>
          <w:bottom w:w="0" w:type="dxa"/>
          <w:end w:w="108" w:type="dxa"/>
        </w:tblCellMar>
      </w:tblPr>
      <w:tblGrid>
        <w:gridCol w:w="2259"/>
        <w:gridCol w:w="2421"/>
      </w:tblGrid>
      <w:tr>
        <w:trPr/>
        <w:tc>
          <w:tcPr>
            <w:tcW w:w="2259" w:type="dxa"/>
            <w:tcBorders/>
          </w:tcPr>
          <w:p>
            <w:pPr>
              <w:pStyle w:val="Header"/>
              <w:tabs>
                <w:tab w:val="clear" w:pos="4320"/>
                <w:tab w:val="clear" w:pos="8640"/>
              </w:tabs>
              <w:spacing w:before="20" w:after="0"/>
              <w:rPr/>
            </w:pPr>
            <w:r>
              <w:rPr/>
              <w:drawing>
                <wp:inline distT="0" distB="0" distL="0" distR="0">
                  <wp:extent cx="1243330" cy="12376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243330" cy="1237615"/>
                          </a:xfrm>
                          <a:prstGeom prst="rect">
                            <a:avLst/>
                          </a:prstGeom>
                          <a:noFill/>
                        </pic:spPr>
                      </pic:pic>
                    </a:graphicData>
                  </a:graphic>
                </wp:inline>
              </w:drawing>
            </w:r>
          </w:p>
        </w:tc>
        <w:tc>
          <w:tcPr>
            <w:tcW w:w="2421" w:type="dxa"/>
            <w:tcBorders/>
          </w:tcPr>
          <w:p>
            <w:pPr>
              <w:pStyle w:val="Normal"/>
              <w:snapToGrid w:val="false"/>
              <w:rPr/>
            </w:pPr>
            <w:r>
              <w:rPr/>
            </w:r>
          </w:p>
        </w:tc>
      </w:tr>
    </w:tbl>
    <w:p>
      <w:pPr>
        <w:pStyle w:val="Normal"/>
        <w:tabs>
          <w:tab w:val="clear" w:pos="720"/>
          <w:tab w:val="right" w:pos="9360" w:leader="none"/>
        </w:tabs>
        <w:rPr>
          <w:b/>
          <w:i/>
          <w:i/>
        </w:rPr>
      </w:pPr>
      <w:r>
        <w:rPr>
          <w:b/>
          <w:i/>
        </w:rPr>
        <w:tab/>
      </w:r>
    </w:p>
    <w:p>
      <w:pPr>
        <w:pStyle w:val="Normal"/>
        <w:tabs>
          <w:tab w:val="clear" w:pos="720"/>
          <w:tab w:val="left" w:pos="6480" w:leader="none"/>
        </w:tabs>
        <w:rPr/>
      </w:pPr>
      <w:r>
        <w:rPr>
          <w:b/>
          <w:i/>
        </w:rPr>
        <w:tab/>
      </w:r>
      <w:r>
        <w:rPr>
          <w:b/>
        </w:rPr>
        <w:t>Interoffice</w:t>
      </w:r>
    </w:p>
    <w:p>
      <w:pPr>
        <w:pStyle w:val="Normal"/>
        <w:tabs>
          <w:tab w:val="clear" w:pos="720"/>
          <w:tab w:val="left" w:pos="6480" w:leader="none"/>
        </w:tabs>
        <w:rPr>
          <w:b/>
        </w:rPr>
      </w:pPr>
      <w:r>
        <w:rPr>
          <w:b/>
        </w:rPr>
        <w:tab/>
        <w:t>Memorandum</w:t>
      </w:r>
    </w:p>
    <w:p>
      <w:pPr>
        <w:pStyle w:val="Normal"/>
        <w:tabs>
          <w:tab w:val="clear" w:pos="720"/>
          <w:tab w:val="left" w:pos="6480" w:leader="none"/>
        </w:tabs>
        <w:rPr>
          <w:b/>
        </w:rPr>
      </w:pPr>
      <w:r>
        <w:rPr>
          <w:b/>
        </w:rPr>
      </w:r>
    </w:p>
    <w:p>
      <w:pPr>
        <w:pStyle w:val="Normal"/>
        <w:tabs>
          <w:tab w:val="clear" w:pos="720"/>
          <w:tab w:val="left" w:pos="6480" w:leader="none"/>
        </w:tabs>
        <w:jc w:val="center"/>
        <w:rPr>
          <w:b/>
        </w:rPr>
      </w:pPr>
      <w:r>
        <w:rPr>
          <w:b/>
        </w:rPr>
        <w:t>PRIVILEGED &amp; CONFIDENTIAL</w:t>
      </w:r>
    </w:p>
    <w:p>
      <w:pPr>
        <w:pStyle w:val="Normal"/>
        <w:tabs>
          <w:tab w:val="clear" w:pos="720"/>
          <w:tab w:val="left" w:pos="6480" w:leader="none"/>
        </w:tabs>
        <w:rPr/>
      </w:pPr>
      <w:r>
        <w:rPr/>
      </w:r>
    </w:p>
    <w:p>
      <w:pPr>
        <w:pStyle w:val="Normal"/>
        <w:tabs>
          <w:tab w:val="clear" w:pos="720"/>
          <w:tab w:val="right" w:pos="900" w:leader="none"/>
          <w:tab w:val="right" w:pos="7200" w:leader="none"/>
          <w:tab w:val="left" w:pos="7650" w:leader="none"/>
        </w:tabs>
        <w:ind w:hanging="2160" w:start="1530" w:end="0"/>
        <w:rPr/>
      </w:pPr>
      <w:r>
        <w:rPr/>
        <w:tab/>
        <w:t>To:</w:t>
        <w:tab/>
        <w:t>Mark E. Haedicke</w:t>
        <w:tab/>
      </w:r>
    </w:p>
    <w:p>
      <w:pPr>
        <w:pStyle w:val="Normal"/>
        <w:tabs>
          <w:tab w:val="clear" w:pos="720"/>
          <w:tab w:val="right" w:pos="900" w:leader="none"/>
          <w:tab w:val="right" w:pos="7200" w:leader="none"/>
          <w:tab w:val="left" w:pos="7650" w:leader="none"/>
        </w:tabs>
        <w:ind w:hanging="2160" w:start="1530" w:end="0"/>
        <w:rPr/>
      </w:pPr>
      <w:r>
        <w:rPr/>
        <w:tab/>
        <w:tab/>
        <w:t>Chris Calger</w:t>
      </w:r>
    </w:p>
    <w:p>
      <w:pPr>
        <w:pStyle w:val="Normal"/>
        <w:tabs>
          <w:tab w:val="clear" w:pos="720"/>
          <w:tab w:val="right" w:pos="900" w:leader="none"/>
          <w:tab w:val="right" w:pos="7200" w:leader="none"/>
          <w:tab w:val="left" w:pos="7650" w:leader="none"/>
        </w:tabs>
        <w:ind w:hanging="2160" w:start="1530" w:end="0"/>
        <w:rPr/>
      </w:pPr>
      <w:r>
        <w:rPr/>
        <w:tab/>
        <w:tab/>
        <w:t>David Parquet</w:t>
      </w:r>
    </w:p>
    <w:p>
      <w:pPr>
        <w:pStyle w:val="Normal"/>
        <w:tabs>
          <w:tab w:val="clear" w:pos="720"/>
          <w:tab w:val="right" w:pos="900" w:leader="none"/>
          <w:tab w:val="right" w:pos="7200" w:leader="none"/>
          <w:tab w:val="left" w:pos="7650" w:leader="none"/>
        </w:tabs>
        <w:ind w:hanging="2160" w:start="1530" w:end="0"/>
        <w:rPr/>
      </w:pPr>
      <w:r>
        <w:rPr/>
      </w:r>
    </w:p>
    <w:p>
      <w:pPr>
        <w:pStyle w:val="Normal"/>
        <w:tabs>
          <w:tab w:val="clear" w:pos="720"/>
          <w:tab w:val="right" w:pos="900" w:leader="none"/>
          <w:tab w:val="right" w:pos="7200" w:leader="none"/>
          <w:tab w:val="right" w:pos="8190" w:leader="none"/>
        </w:tabs>
        <w:ind w:hanging="2160" w:start="1530" w:end="0"/>
        <w:rPr/>
      </w:pPr>
      <w:r>
        <w:rPr/>
        <w:tab/>
        <w:t>From:</w:t>
        <w:tab/>
        <w:t>Sheila R. Tweed</w:t>
      </w:r>
    </w:p>
    <w:p>
      <w:pPr>
        <w:pStyle w:val="Normal"/>
        <w:tabs>
          <w:tab w:val="clear" w:pos="720"/>
          <w:tab w:val="right" w:pos="900" w:leader="none"/>
          <w:tab w:val="right" w:pos="7200" w:leader="none"/>
          <w:tab w:val="right" w:pos="8190" w:leader="none"/>
        </w:tabs>
        <w:ind w:hanging="2160" w:start="1530" w:end="0"/>
        <w:rPr/>
      </w:pPr>
      <w:r>
        <w:rPr/>
      </w:r>
    </w:p>
    <w:p>
      <w:pPr>
        <w:pStyle w:val="Normal"/>
        <w:tabs>
          <w:tab w:val="clear" w:pos="720"/>
          <w:tab w:val="right" w:pos="900" w:leader="none"/>
          <w:tab w:val="right" w:pos="7200" w:leader="none"/>
          <w:tab w:val="right" w:pos="8190" w:leader="none"/>
        </w:tabs>
        <w:ind w:hanging="2160" w:start="1530" w:end="0"/>
        <w:rPr/>
      </w:pPr>
      <w:r>
        <w:rPr/>
        <w:tab/>
        <w:t>Date:</w:t>
        <w:tab/>
        <w:t>November 1, 2000</w:t>
      </w:r>
    </w:p>
    <w:p>
      <w:pPr>
        <w:pStyle w:val="Normal"/>
        <w:tabs>
          <w:tab w:val="clear" w:pos="720"/>
          <w:tab w:val="right" w:pos="900" w:leader="none"/>
        </w:tabs>
        <w:ind w:hanging="2160" w:start="1530" w:end="0"/>
        <w:rPr/>
      </w:pPr>
      <w:r>
        <w:rPr/>
      </w:r>
    </w:p>
    <w:p>
      <w:pPr>
        <w:pStyle w:val="Header"/>
        <w:tabs>
          <w:tab w:val="clear" w:pos="4320"/>
          <w:tab w:val="clear" w:pos="8640"/>
        </w:tabs>
        <w:rPr/>
      </w:pPr>
      <w:r>
        <w:rPr/>
        <w:t xml:space="preserve">          </w:t>
      </w:r>
      <w:r>
        <w:rPr/>
        <w:t>Re:</w:t>
        <w:tab/>
        <w:t>Summer Reliability Agreement With California ISO</w:t>
      </w:r>
    </w:p>
    <w:p>
      <w:pPr>
        <w:pStyle w:val="Normal"/>
        <w:tabs>
          <w:tab w:val="clear" w:pos="720"/>
          <w:tab w:val="left" w:pos="1620" w:leader="none"/>
        </w:tabs>
        <w:ind w:hanging="1620" w:start="1620" w:end="0"/>
        <w:jc w:val="both"/>
        <w:rPr/>
      </w:pPr>
      <w:r>
        <w:rPr/>
      </w:r>
    </w:p>
    <w:p>
      <w:pPr>
        <w:pStyle w:val="Normal"/>
        <w:tabs>
          <w:tab w:val="clear" w:pos="720"/>
          <w:tab w:val="left" w:pos="1620" w:leader="none"/>
        </w:tabs>
        <w:ind w:hanging="1620" w:start="1620" w:end="0"/>
        <w:jc w:val="both"/>
        <w:rPr/>
      </w:pPr>
      <w:r>
        <w:rPr/>
        <w:t>LEGAL RISK RATING:  4</w:t>
      </w:r>
    </w:p>
    <w:p>
      <w:pPr>
        <w:pStyle w:val="Normal"/>
        <w:jc w:val="both"/>
        <w:rPr/>
      </w:pPr>
      <w:r>
        <w:rPr/>
      </w:r>
    </w:p>
    <w:p>
      <w:pPr>
        <w:pStyle w:val="Normal"/>
        <w:pBdr>
          <w:top w:val="single" w:sz="12" w:space="1" w:color="000000"/>
        </w:pBdr>
        <w:jc w:val="both"/>
        <w:rPr/>
      </w:pPr>
      <w:r>
        <w:rPr/>
      </w:r>
    </w:p>
    <w:p>
      <w:pPr>
        <w:pStyle w:val="Normal"/>
        <w:jc w:val="both"/>
        <w:rPr/>
      </w:pPr>
      <w:r>
        <w:rPr/>
        <w:t>We received late yesterday a revised Pro forma Summer Reliability Agreement that the California ISO is willing to execute for generation capacity commencing June, 2001.  We have been negotiating with the Cal. ISO for the sale of generating capacity and a firm power supply at Palo Verde in connection with (a) a 45 MW project at Pleasanton using one LM 6000 turbine; (b) a 45 MW project at Lodi using one LM 6000 turbine and (c) 225 MW’s, the first summer coming from a firm power supply delivered into the Cal. ISO’s control area at Palo Verde and the next two summers from the 225 MW expansion project that will be built by LV Cogeneration II (we are currently in the process of selling the equity in the existing plant and the expansion).</w:t>
      </w:r>
    </w:p>
    <w:p>
      <w:pPr>
        <w:pStyle w:val="Normal"/>
        <w:jc w:val="both"/>
        <w:rPr/>
      </w:pPr>
      <w:r>
        <w:rPr/>
      </w:r>
    </w:p>
    <w:p>
      <w:pPr>
        <w:pStyle w:val="Normal"/>
        <w:jc w:val="both"/>
        <w:rPr/>
      </w:pPr>
      <w:r>
        <w:rPr/>
        <w:t xml:space="preserve">Although we have suggested many revisions to the Cal. ISO’s Summer Reliability Agreement, we should expect to “take it or leave it” with respect to Pleasanton and Lodi.  We should also expect that the Cal. ISO would want only minimal changes to accommodate the LV Cogen/ firm power supply deal.  Under this assumption, we have the following legal risks:  </w:t>
      </w:r>
    </w:p>
    <w:p>
      <w:pPr>
        <w:pStyle w:val="Normal"/>
        <w:jc w:val="both"/>
        <w:rPr/>
      </w:pPr>
      <w:r>
        <w:rPr/>
      </w:r>
    </w:p>
    <w:p>
      <w:pPr>
        <w:pStyle w:val="Normal"/>
        <w:numPr>
          <w:ilvl w:val="0"/>
          <w:numId w:val="2"/>
        </w:numPr>
        <w:jc w:val="both"/>
        <w:rPr/>
      </w:pPr>
      <w:r>
        <w:rPr>
          <w:u w:val="single"/>
        </w:rPr>
        <w:t>California Regulatory Risk.</w:t>
      </w:r>
      <w:r>
        <w:rPr/>
        <w:t xml:space="preserve">  The Summer Reliability Agreement contemplates the payment of a fixed charge for each summer period 2001 through 2003 for each of the Projects.  Since these payments are paid whether or not the Cal. ISO calls on the capacity, the authority to make these payments and the extent to which the Cal. ISO can be contractually obligated to make these payments is significant to the Projects’ economics.  After the new generation sources come into operation, the “incentive” provided by these fixed charges no longer exists from the Cal. ISO’s point of view. Also, the more new generation is constructed in California, the less of a problem of reliability, so there is greater risk the farther out these agreements go. The Summer Reliability Agreement currently contemplates that the Cal. ISO’s payment obligations are not subject to a limitation of liability of $1 million, but the Agreement is governed by the ISO’s Tariff that states that the ISO is not obligated to pay unless it is paid.  The ISO, a pass-through entity is looking to the Scheduling Coordinators to pay for the Summer Reliability Agreements.  There is some dissention amongst the municipals, who have their own generation and distribution assets, about having to pay for these fixed charges since the generation capacity mostly inures to the benefit of the utilities and marketers and the Tariff amendment to permit Cal. ISO to purchase this generation capacity and pass it through to the scheduling coordinators is pending before the FERC.</w:t>
      </w:r>
    </w:p>
    <w:p>
      <w:pPr>
        <w:pStyle w:val="Normal"/>
        <w:jc w:val="both"/>
        <w:rPr/>
      </w:pPr>
      <w:r>
        <w:rPr/>
      </w:r>
    </w:p>
    <w:p>
      <w:pPr>
        <w:pStyle w:val="Heading1"/>
        <w:ind w:start="1080" w:end="0"/>
        <w:jc w:val="both"/>
        <w:rPr/>
      </w:pPr>
      <w:r>
        <w:rPr/>
        <w:t>Mitigants:</w:t>
      </w:r>
      <w:r>
        <w:rPr>
          <w:u w:val="none"/>
        </w:rPr>
        <w:t xml:space="preserve">  In any effort to change the ISO Tariff, we could intervene and protest if a change would be adverse to our rights under the Agreement.  FERC is not likely to support the ISO in its efforts to get out of contractual obligations.  The Summer Reliability Agreement provides for arbitration for disputes, including acts in bad faith.</w:t>
      </w:r>
    </w:p>
    <w:p>
      <w:pPr>
        <w:pStyle w:val="Normal"/>
        <w:jc w:val="both"/>
        <w:rPr>
          <w:u w:val="single"/>
        </w:rPr>
      </w:pPr>
      <w:r>
        <w:rPr>
          <w:u w:val="single"/>
        </w:rPr>
      </w:r>
    </w:p>
    <w:p>
      <w:pPr>
        <w:pStyle w:val="Normal"/>
        <w:tabs>
          <w:tab w:val="clear" w:pos="720"/>
          <w:tab w:val="left" w:pos="1080" w:leader="none"/>
        </w:tabs>
        <w:ind w:hanging="720" w:start="1080" w:end="0"/>
        <w:jc w:val="both"/>
        <w:rPr/>
      </w:pPr>
      <w:r>
        <w:rPr/>
        <w:t>2.</w:t>
        <w:tab/>
      </w:r>
      <w:r>
        <w:rPr>
          <w:u w:val="single"/>
        </w:rPr>
        <w:t>Limitation of Liability.</w:t>
      </w:r>
      <w:r>
        <w:rPr/>
        <w:t xml:space="preserve">   All of the Cal. ISO’s obligations under the Agreement, except the obligation to make the payments to the Generator, are subject to a limitation of liability of  $1 million.  If the ISO defaults in payments to us, they are obligated to pay us “uncompensated losses after Owner has mitigated such loss to the extent reasonable.”  If we do not construct the plant in time (or otherwise default in 2001 under the firm power supply part of the LV Cogen deal), the ISO’s remedy is limited to not paying the fixed charges until commercial operations and if no commercial operations occur by October 31, 2001, the Agreement may be terminated.  After commercial operations if Generator defaults, Generator pays cover damages for non-delivery.</w:t>
      </w:r>
    </w:p>
    <w:p>
      <w:pPr>
        <w:pStyle w:val="Normal"/>
        <w:jc w:val="both"/>
        <w:rPr/>
      </w:pPr>
      <w:r>
        <w:rPr/>
      </w:r>
    </w:p>
    <w:p>
      <w:pPr>
        <w:pStyle w:val="Normal"/>
        <w:tabs>
          <w:tab w:val="clear" w:pos="720"/>
          <w:tab w:val="left" w:pos="1080" w:leader="none"/>
        </w:tabs>
        <w:ind w:hanging="720" w:start="1080" w:end="0"/>
        <w:jc w:val="both"/>
        <w:rPr/>
      </w:pPr>
      <w:r>
        <w:rPr/>
        <w:t>3.</w:t>
        <w:tab/>
      </w:r>
      <w:r>
        <w:rPr>
          <w:u w:val="single"/>
        </w:rPr>
        <w:t>Non-Standard Power Sales.</w:t>
      </w:r>
      <w:r>
        <w:rPr/>
        <w:t xml:space="preserve">   The Summer Reliability Agreement does not conform to our standard trading agreements in a number of respects, most of which do not raise a high risk under the capacity sales agreements for Plesanton and Lodi.  The Agreement for LV Cogen will also apply to the firm power sale for 2001 and there is more risk from the non-standard provisions in the context of that sale.</w:t>
      </w:r>
    </w:p>
    <w:p>
      <w:pPr>
        <w:pStyle w:val="Normal"/>
        <w:jc w:val="both"/>
        <w:rPr/>
      </w:pPr>
      <w:r>
        <w:rPr/>
      </w:r>
    </w:p>
    <w:sectPr>
      <w:footerReference w:type="default" r:id="rId3"/>
      <w:footerReference w:type="first" r:id="rId4"/>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8"/>
      </w:rPr>
      <w:t>RiskMemoSummerReliabilityCalfinal.doc</w:t>
    </w:r>
    <w:r>
      <w:rPr/>
      <w:t>.</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720" w:end="0"/>
      <w:outlineLvl w:val="0"/>
    </w:pPr>
    <w:rPr>
      <w:u w:val="single"/>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2000-11-01T14:18:00Z</dcterms:created>
  <dc:creator>stweed</dc:creator>
  <dc:description/>
  <dc:language>en-CA</dc:language>
  <cp:lastModifiedBy>sadams</cp:lastModifiedBy>
  <cp:lastPrinted>2000-11-01T10:56:00Z</cp:lastPrinted>
  <dcterms:modified xsi:type="dcterms:W3CDTF">2000-11-01T14:29:00Z</dcterms:modified>
  <cp:revision>3</cp:revision>
  <dc:subject/>
  <dc:title>MEMORANDUM</dc:title>
</cp:coreProperties>
</file>