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tabs>
          <w:tab w:val="clear" w:pos="720"/>
          <w:tab w:val="left" w:pos="9900" w:leader="none"/>
        </w:tabs>
        <w:ind w:end="-504"/>
        <w:rPr/>
      </w:pPr>
      <w:r>
        <w:rPr/>
      </w:r>
    </w:p>
    <w:p>
      <w:pPr>
        <w:pStyle w:val="Heading"/>
        <w:rPr/>
      </w:pPr>
      <w:r>
        <w:rPr/>
      </w:r>
    </w:p>
    <w:p>
      <w:pPr>
        <w:pStyle w:val="Heading"/>
        <w:rPr/>
      </w:pPr>
      <w:r>
        <w:rPr/>
      </w:r>
    </w:p>
    <w:p>
      <w:pPr>
        <w:pStyle w:val="Heading"/>
        <w:rPr/>
      </w:pPr>
      <w:r>
        <w:rPr/>
      </w:r>
    </w:p>
    <w:tbl>
      <w:tblPr>
        <w:tblW w:w="10098" w:type="dxa"/>
        <w:jc w:val="start"/>
        <w:tblInd w:w="0" w:type="dxa"/>
        <w:tblLayout w:type="fixed"/>
        <w:tblCellMar>
          <w:top w:w="0" w:type="dxa"/>
          <w:start w:w="108" w:type="dxa"/>
          <w:bottom w:w="0" w:type="dxa"/>
          <w:end w:w="108" w:type="dxa"/>
        </w:tblCellMar>
      </w:tblPr>
      <w:tblGrid>
        <w:gridCol w:w="1098"/>
        <w:gridCol w:w="5310"/>
        <w:gridCol w:w="1440"/>
        <w:gridCol w:w="2250"/>
      </w:tblGrid>
      <w:tr>
        <w:trPr/>
        <w:tc>
          <w:tcPr>
            <w:tcW w:w="1098" w:type="dxa"/>
            <w:tcBorders/>
          </w:tcPr>
          <w:p>
            <w:pPr>
              <w:pStyle w:val="Heading"/>
              <w:rPr>
                <w:rFonts w:ascii="Times New Roman" w:hAnsi="Times New Roman" w:cs="Times New Roman"/>
                <w:b w:val="false"/>
              </w:rPr>
            </w:pPr>
            <w:r>
              <w:rPr>
                <w:rFonts w:cs="Times New Roman" w:ascii="Times New Roman" w:hAnsi="Times New Roman"/>
                <w:b w:val="false"/>
              </w:rPr>
              <w:t>To:</w:t>
            </w:r>
          </w:p>
        </w:tc>
        <w:tc>
          <w:tcPr>
            <w:tcW w:w="5310" w:type="dxa"/>
            <w:tcBorders/>
          </w:tcPr>
          <w:p>
            <w:pPr>
              <w:pStyle w:val="Heading"/>
              <w:rPr>
                <w:rFonts w:ascii="Times New Roman" w:hAnsi="Times New Roman" w:cs="Times New Roman"/>
                <w:b w:val="false"/>
                <w:sz w:val="20"/>
              </w:rPr>
            </w:pPr>
            <w:r>
              <w:rPr>
                <w:rFonts w:cs="Times New Roman" w:ascii="Times New Roman" w:hAnsi="Times New Roman"/>
                <w:b w:val="false"/>
                <w:sz w:val="20"/>
              </w:rPr>
              <w:t>Mark Haedicke</w:t>
            </w:r>
          </w:p>
        </w:tc>
        <w:tc>
          <w:tcPr>
            <w:tcW w:w="144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c>
          <w:tcPr>
            <w:tcW w:w="2250" w:type="dxa"/>
            <w:tcBorders/>
          </w:tcPr>
          <w:p>
            <w:pPr>
              <w:pStyle w:val="Heading"/>
              <w:snapToGrid w:val="false"/>
              <w:rPr>
                <w:rFonts w:ascii="Times New Roman" w:hAnsi="Times New Roman" w:cs="Times New Roman"/>
                <w:b w:val="false"/>
              </w:rPr>
            </w:pPr>
            <w:r>
              <w:rPr>
                <w:rFonts w:cs="Times New Roman" w:ascii="Times New Roman" w:hAnsi="Times New Roman"/>
                <w:b w:val="false"/>
              </w:rPr>
            </w:r>
          </w:p>
        </w:tc>
      </w:tr>
      <w:tr>
        <w:trPr/>
        <w:tc>
          <w:tcPr>
            <w:tcW w:w="1098" w:type="dxa"/>
            <w:tcBorders/>
          </w:tcPr>
          <w:p>
            <w:pPr>
              <w:pStyle w:val="Heading"/>
              <w:snapToGrid w:val="false"/>
              <w:rPr>
                <w:rFonts w:ascii="Times New Roman" w:hAnsi="Times New Roman" w:cs="Times New Roman"/>
                <w:b w:val="false"/>
                <w:sz w:val="24"/>
              </w:rPr>
            </w:pPr>
            <w:r>
              <w:rPr>
                <w:rFonts w:cs="Times New Roman" w:ascii="Times New Roman" w:hAnsi="Times New Roman"/>
                <w:b w:val="false"/>
                <w:sz w:val="24"/>
              </w:rPr>
            </w:r>
          </w:p>
        </w:tc>
        <w:tc>
          <w:tcPr>
            <w:tcW w:w="5310" w:type="dxa"/>
            <w:tcBorders/>
          </w:tcPr>
          <w:p>
            <w:pPr>
              <w:pStyle w:val="Heading"/>
              <w:snapToGrid w:val="false"/>
              <w:rPr>
                <w:rFonts w:ascii="Times New Roman" w:hAnsi="Times New Roman" w:cs="Times New Roman"/>
                <w:b w:val="false"/>
              </w:rPr>
            </w:pPr>
            <w:r>
              <w:rPr>
                <w:rFonts w:cs="Times New Roman" w:ascii="Times New Roman" w:hAnsi="Times New Roman"/>
                <w:b w:val="false"/>
              </w:rPr>
            </w:r>
          </w:p>
        </w:tc>
        <w:tc>
          <w:tcPr>
            <w:tcW w:w="1440" w:type="dxa"/>
            <w:tcBorders/>
          </w:tcPr>
          <w:p>
            <w:pPr>
              <w:pStyle w:val="Heading"/>
              <w:snapToGrid w:val="false"/>
              <w:rPr>
                <w:rFonts w:ascii="Times New Roman" w:hAnsi="Times New Roman" w:cs="Times New Roman"/>
                <w:b w:val="false"/>
              </w:rPr>
            </w:pPr>
            <w:r>
              <w:rPr>
                <w:rFonts w:cs="Times New Roman" w:ascii="Times New Roman" w:hAnsi="Times New Roman"/>
                <w:b w:val="false"/>
              </w:rPr>
            </w:r>
          </w:p>
        </w:tc>
        <w:tc>
          <w:tcPr>
            <w:tcW w:w="2250" w:type="dxa"/>
            <w:tcBorders/>
          </w:tcPr>
          <w:p>
            <w:pPr>
              <w:pStyle w:val="Heading"/>
              <w:snapToGrid w:val="false"/>
              <w:rPr>
                <w:rFonts w:ascii="Times New Roman" w:hAnsi="Times New Roman" w:cs="Times New Roman"/>
                <w:b w:val="false"/>
              </w:rPr>
            </w:pPr>
            <w:r>
              <w:rPr>
                <w:rFonts w:cs="Times New Roman" w:ascii="Times New Roman" w:hAnsi="Times New Roman"/>
                <w:b w:val="false"/>
              </w:rPr>
            </w:r>
          </w:p>
        </w:tc>
      </w:tr>
      <w:tr>
        <w:trPr/>
        <w:tc>
          <w:tcPr>
            <w:tcW w:w="1098" w:type="dxa"/>
            <w:tcBorders/>
          </w:tcPr>
          <w:p>
            <w:pPr>
              <w:pStyle w:val="Heading"/>
              <w:rPr>
                <w:rFonts w:ascii="Times New Roman" w:hAnsi="Times New Roman" w:cs="Times New Roman"/>
                <w:b w:val="false"/>
              </w:rPr>
            </w:pPr>
            <w:r>
              <w:rPr>
                <w:rFonts w:cs="Times New Roman" w:ascii="Times New Roman" w:hAnsi="Times New Roman"/>
                <w:b w:val="false"/>
              </w:rPr>
              <w:t>From:</w:t>
            </w:r>
          </w:p>
        </w:tc>
        <w:tc>
          <w:tcPr>
            <w:tcW w:w="5310" w:type="dxa"/>
            <w:tcBorders/>
          </w:tcPr>
          <w:p>
            <w:pPr>
              <w:pStyle w:val="Heading"/>
              <w:rPr>
                <w:rFonts w:ascii="Times New Roman" w:hAnsi="Times New Roman" w:cs="Times New Roman"/>
                <w:b w:val="false"/>
                <w:sz w:val="20"/>
              </w:rPr>
            </w:pPr>
            <w:r>
              <w:rPr>
                <w:rFonts w:cs="Times New Roman" w:ascii="Times New Roman" w:hAnsi="Times New Roman"/>
                <w:b w:val="false"/>
                <w:sz w:val="20"/>
              </w:rPr>
              <w:t>Peggy J. Banczak</w:t>
            </w:r>
          </w:p>
        </w:tc>
        <w:tc>
          <w:tcPr>
            <w:tcW w:w="1440" w:type="dxa"/>
            <w:tcBorders/>
          </w:tcPr>
          <w:p>
            <w:pPr>
              <w:pStyle w:val="Heading"/>
              <w:rPr>
                <w:rFonts w:ascii="Times New Roman" w:hAnsi="Times New Roman" w:cs="Times New Roman"/>
                <w:b w:val="false"/>
              </w:rPr>
            </w:pPr>
            <w:r>
              <w:rPr>
                <w:rFonts w:cs="Times New Roman" w:ascii="Times New Roman" w:hAnsi="Times New Roman"/>
                <w:b w:val="false"/>
              </w:rPr>
              <w:t>Department:</w:t>
            </w:r>
          </w:p>
        </w:tc>
        <w:tc>
          <w:tcPr>
            <w:tcW w:w="2250" w:type="dxa"/>
            <w:tcBorders/>
          </w:tcPr>
          <w:p>
            <w:pPr>
              <w:pStyle w:val="Heading"/>
              <w:rPr>
                <w:rFonts w:ascii="Times New Roman" w:hAnsi="Times New Roman" w:cs="Times New Roman"/>
                <w:b w:val="false"/>
                <w:sz w:val="20"/>
              </w:rPr>
            </w:pPr>
            <w:r>
              <w:rPr>
                <w:rFonts w:cs="Times New Roman" w:ascii="Times New Roman" w:hAnsi="Times New Roman"/>
                <w:b w:val="false"/>
                <w:sz w:val="20"/>
              </w:rPr>
              <w:t>ENA Legal</w:t>
            </w:r>
          </w:p>
        </w:tc>
      </w:tr>
      <w:tr>
        <w:trPr/>
        <w:tc>
          <w:tcPr>
            <w:tcW w:w="1098" w:type="dxa"/>
            <w:tcBorders/>
          </w:tcPr>
          <w:p>
            <w:pPr>
              <w:pStyle w:val="Heading"/>
              <w:snapToGrid w:val="false"/>
              <w:rPr>
                <w:rFonts w:ascii="Times New Roman" w:hAnsi="Times New Roman" w:cs="Times New Roman"/>
                <w:b w:val="false"/>
                <w:sz w:val="24"/>
              </w:rPr>
            </w:pPr>
            <w:r>
              <w:rPr>
                <w:rFonts w:cs="Times New Roman" w:ascii="Times New Roman" w:hAnsi="Times New Roman"/>
                <w:b w:val="false"/>
                <w:sz w:val="24"/>
              </w:rPr>
            </w:r>
          </w:p>
        </w:tc>
        <w:tc>
          <w:tcPr>
            <w:tcW w:w="5310" w:type="dxa"/>
            <w:tcBorders/>
          </w:tcPr>
          <w:p>
            <w:pPr>
              <w:pStyle w:val="Heading"/>
              <w:rPr>
                <w:rFonts w:ascii="Times New Roman" w:hAnsi="Times New Roman" w:cs="Times New Roman"/>
                <w:b w:val="false"/>
                <w:sz w:val="20"/>
              </w:rPr>
            </w:pPr>
            <w:r>
              <w:rPr>
                <w:rFonts w:cs="Times New Roman" w:ascii="Times New Roman" w:hAnsi="Times New Roman"/>
                <w:b w:val="false"/>
                <w:sz w:val="20"/>
              </w:rPr>
              <w:t>(713) 853-5468</w:t>
            </w:r>
          </w:p>
        </w:tc>
        <w:tc>
          <w:tcPr>
            <w:tcW w:w="144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c>
          <w:tcPr>
            <w:tcW w:w="225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r>
      <w:tr>
        <w:trPr/>
        <w:tc>
          <w:tcPr>
            <w:tcW w:w="1098" w:type="dxa"/>
            <w:tcBorders/>
          </w:tcPr>
          <w:p>
            <w:pPr>
              <w:pStyle w:val="Heading"/>
              <w:snapToGrid w:val="false"/>
              <w:rPr>
                <w:rFonts w:ascii="Times New Roman" w:hAnsi="Times New Roman" w:cs="Times New Roman"/>
                <w:b w:val="false"/>
                <w:sz w:val="24"/>
              </w:rPr>
            </w:pPr>
            <w:r>
              <w:rPr>
                <w:rFonts w:cs="Times New Roman" w:ascii="Times New Roman" w:hAnsi="Times New Roman"/>
                <w:b w:val="false"/>
                <w:sz w:val="24"/>
              </w:rPr>
            </w:r>
          </w:p>
        </w:tc>
        <w:tc>
          <w:tcPr>
            <w:tcW w:w="531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c>
          <w:tcPr>
            <w:tcW w:w="144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c>
          <w:tcPr>
            <w:tcW w:w="2250" w:type="dxa"/>
            <w:tcBorders/>
          </w:tcPr>
          <w:p>
            <w:pPr>
              <w:pStyle w:val="Heading"/>
              <w:snapToGrid w:val="false"/>
              <w:rPr>
                <w:rFonts w:ascii="Times New Roman" w:hAnsi="Times New Roman" w:cs="Times New Roman"/>
                <w:b w:val="false"/>
                <w:sz w:val="20"/>
              </w:rPr>
            </w:pPr>
            <w:r>
              <w:rPr>
                <w:rFonts w:cs="Times New Roman" w:ascii="Times New Roman" w:hAnsi="Times New Roman"/>
                <w:b w:val="false"/>
                <w:sz w:val="20"/>
              </w:rPr>
            </w:r>
          </w:p>
        </w:tc>
      </w:tr>
      <w:tr>
        <w:trPr/>
        <w:tc>
          <w:tcPr>
            <w:tcW w:w="1098" w:type="dxa"/>
            <w:tcBorders/>
          </w:tcPr>
          <w:p>
            <w:pPr>
              <w:pStyle w:val="Heading"/>
              <w:rPr>
                <w:rFonts w:ascii="Times New Roman" w:hAnsi="Times New Roman" w:cs="Times New Roman"/>
                <w:b w:val="false"/>
              </w:rPr>
            </w:pPr>
            <w:r>
              <w:rPr>
                <w:rFonts w:cs="Times New Roman" w:ascii="Times New Roman" w:hAnsi="Times New Roman"/>
                <w:b w:val="false"/>
              </w:rPr>
              <w:t>Subject:</w:t>
            </w:r>
          </w:p>
        </w:tc>
        <w:tc>
          <w:tcPr>
            <w:tcW w:w="5310" w:type="dxa"/>
            <w:tcBorders/>
          </w:tcPr>
          <w:p>
            <w:pPr>
              <w:pStyle w:val="Heading"/>
              <w:rPr>
                <w:rFonts w:ascii="Times New Roman" w:hAnsi="Times New Roman" w:cs="Times New Roman"/>
                <w:b w:val="false"/>
                <w:sz w:val="20"/>
              </w:rPr>
            </w:pPr>
            <w:r>
              <w:rPr>
                <w:rFonts w:cs="Times New Roman" w:ascii="Times New Roman" w:hAnsi="Times New Roman"/>
                <w:b w:val="false"/>
                <w:sz w:val="20"/>
              </w:rPr>
              <w:t>DeAcero Power Sale Agreement Risks</w:t>
            </w:r>
          </w:p>
        </w:tc>
        <w:tc>
          <w:tcPr>
            <w:tcW w:w="1440" w:type="dxa"/>
            <w:tcBorders/>
          </w:tcPr>
          <w:p>
            <w:pPr>
              <w:pStyle w:val="Heading"/>
              <w:rPr>
                <w:rFonts w:ascii="Times New Roman" w:hAnsi="Times New Roman" w:cs="Times New Roman"/>
                <w:b w:val="false"/>
              </w:rPr>
            </w:pPr>
            <w:r>
              <w:rPr>
                <w:rFonts w:cs="Times New Roman" w:ascii="Times New Roman" w:hAnsi="Times New Roman"/>
                <w:b w:val="false"/>
              </w:rPr>
              <w:t xml:space="preserve">Date: </w:t>
            </w:r>
          </w:p>
        </w:tc>
        <w:tc>
          <w:tcPr>
            <w:tcW w:w="2250" w:type="dxa"/>
            <w:tcBorders/>
          </w:tcPr>
          <w:p>
            <w:pPr>
              <w:pStyle w:val="Heading"/>
              <w:ind w:start="-108" w:end="0"/>
              <w:rPr>
                <w:rFonts w:ascii="Times New Roman" w:hAnsi="Times New Roman" w:cs="Times New Roman"/>
                <w:b w:val="false"/>
                <w:sz w:val="20"/>
              </w:rPr>
            </w:pPr>
            <w:r>
              <w:rPr>
                <w:rFonts w:cs="Times New Roman" w:ascii="Times New Roman" w:hAnsi="Times New Roman"/>
                <w:b w:val="false"/>
                <w:sz w:val="20"/>
              </w:rPr>
              <w:t>December 2, 2000</w:t>
            </w:r>
          </w:p>
        </w:tc>
      </w:tr>
      <w:tr>
        <w:trPr/>
        <w:tc>
          <w:tcPr>
            <w:tcW w:w="1098" w:type="dxa"/>
            <w:tcBorders>
              <w:bottom w:val="single" w:sz="12" w:space="0" w:color="000000"/>
            </w:tcBorders>
          </w:tcPr>
          <w:p>
            <w:pPr>
              <w:pStyle w:val="Heading"/>
              <w:snapToGrid w:val="false"/>
              <w:rPr>
                <w:rFonts w:ascii="Times New Roman" w:hAnsi="Times New Roman" w:cs="Times New Roman"/>
                <w:b w:val="false"/>
                <w:sz w:val="24"/>
              </w:rPr>
            </w:pPr>
            <w:r>
              <w:rPr>
                <w:rFonts w:cs="Times New Roman" w:ascii="Times New Roman" w:hAnsi="Times New Roman"/>
                <w:b w:val="false"/>
                <w:sz w:val="24"/>
              </w:rPr>
            </w:r>
          </w:p>
        </w:tc>
        <w:tc>
          <w:tcPr>
            <w:tcW w:w="5310" w:type="dxa"/>
            <w:tcBorders>
              <w:bottom w:val="single" w:sz="12" w:space="0" w:color="000000"/>
            </w:tcBorders>
          </w:tcPr>
          <w:p>
            <w:pPr>
              <w:pStyle w:val="Heading"/>
              <w:snapToGrid w:val="false"/>
              <w:rPr>
                <w:rFonts w:ascii="Times New Roman" w:hAnsi="Times New Roman" w:cs="Times New Roman"/>
                <w:b w:val="false"/>
              </w:rPr>
            </w:pPr>
            <w:r>
              <w:rPr>
                <w:rFonts w:cs="Times New Roman" w:ascii="Times New Roman" w:hAnsi="Times New Roman"/>
                <w:b w:val="false"/>
              </w:rPr>
            </w:r>
          </w:p>
        </w:tc>
        <w:tc>
          <w:tcPr>
            <w:tcW w:w="1440" w:type="dxa"/>
            <w:tcBorders>
              <w:bottom w:val="single" w:sz="12" w:space="0" w:color="000000"/>
            </w:tcBorders>
          </w:tcPr>
          <w:p>
            <w:pPr>
              <w:pStyle w:val="Heading"/>
              <w:snapToGrid w:val="false"/>
              <w:rPr>
                <w:rFonts w:ascii="Times New Roman" w:hAnsi="Times New Roman" w:cs="Times New Roman"/>
                <w:b w:val="false"/>
              </w:rPr>
            </w:pPr>
            <w:r>
              <w:rPr>
                <w:rFonts w:cs="Times New Roman" w:ascii="Times New Roman" w:hAnsi="Times New Roman"/>
                <w:b w:val="false"/>
              </w:rPr>
            </w:r>
          </w:p>
        </w:tc>
        <w:tc>
          <w:tcPr>
            <w:tcW w:w="2250" w:type="dxa"/>
            <w:tcBorders>
              <w:bottom w:val="single" w:sz="12" w:space="0" w:color="000000"/>
            </w:tcBorders>
          </w:tcPr>
          <w:p>
            <w:pPr>
              <w:pStyle w:val="Heading"/>
              <w:snapToGrid w:val="false"/>
              <w:rPr>
                <w:rFonts w:ascii="Times New Roman" w:hAnsi="Times New Roman" w:cs="Times New Roman"/>
                <w:b w:val="false"/>
              </w:rPr>
            </w:pPr>
            <w:r>
              <w:rPr>
                <w:rFonts w:cs="Times New Roman" w:ascii="Times New Roman" w:hAnsi="Times New Roman"/>
                <w:b w:val="false"/>
              </w:rPr>
            </w:r>
          </w:p>
        </w:tc>
      </w:tr>
    </w:tbl>
    <w:p>
      <w:pPr>
        <w:pStyle w:val="Heading"/>
        <w:jc w:val="both"/>
        <w:rPr>
          <w:b w:val="false"/>
        </w:rPr>
      </w:pPr>
      <w:r>
        <w:rPr>
          <w:b w:val="false"/>
        </w:rPr>
      </w:r>
    </w:p>
    <w:p>
      <w:pPr>
        <w:pStyle w:val="Heading"/>
        <w:jc w:val="both"/>
        <w:rPr>
          <w:rFonts w:ascii="Times New Roman" w:hAnsi="Times New Roman" w:cs="Times New Roman"/>
          <w:b w:val="false"/>
          <w:sz w:val="20"/>
        </w:rPr>
      </w:pPr>
      <w:r>
        <w:rPr>
          <w:rFonts w:cs="Times New Roman" w:ascii="Times New Roman" w:hAnsi="Times New Roman"/>
          <w:b w:val="false"/>
          <w:sz w:val="20"/>
        </w:rPr>
        <w:t>LEGAL RISK RATING = 3</w:t>
      </w:r>
    </w:p>
    <w:p>
      <w:pPr>
        <w:pStyle w:val="Heading"/>
        <w:jc w:val="both"/>
        <w:rPr>
          <w:rFonts w:ascii="Times New Roman" w:hAnsi="Times New Roman" w:cs="Times New Roman"/>
          <w:b w:val="false"/>
          <w:sz w:val="20"/>
        </w:rPr>
      </w:pPr>
      <w:r>
        <w:rPr>
          <w:rFonts w:cs="Times New Roman" w:ascii="Times New Roman" w:hAnsi="Times New Roman"/>
          <w:b w:val="false"/>
          <w:sz w:val="20"/>
        </w:rPr>
      </w:r>
    </w:p>
    <w:p>
      <w:pPr>
        <w:pStyle w:val="Heading"/>
        <w:jc w:val="both"/>
        <w:rPr>
          <w:rFonts w:ascii="Times New Roman" w:hAnsi="Times New Roman" w:cs="Times New Roman"/>
          <w:b w:val="false"/>
          <w:sz w:val="20"/>
        </w:rPr>
      </w:pPr>
      <w:r>
        <w:rPr>
          <w:rFonts w:cs="Times New Roman" w:ascii="Times New Roman" w:hAnsi="Times New Roman"/>
          <w:b w:val="false"/>
          <w:sz w:val="20"/>
        </w:rPr>
        <w:t>The following are potential legal risks arising out of the DeAcero Power Sale Agreement:</w:t>
      </w:r>
    </w:p>
    <w:p>
      <w:pPr>
        <w:pStyle w:val="Normal"/>
        <w:rPr>
          <w:rFonts w:ascii="Times New Roman" w:hAnsi="Times New Roman" w:cs="Times New Roman"/>
          <w:b/>
          <w:i/>
          <w:i/>
          <w:sz w:val="20"/>
          <w:u w:val="single"/>
        </w:rPr>
      </w:pPr>
      <w:r>
        <w:rPr>
          <w:rFonts w:cs="Times New Roman"/>
          <w:b/>
          <w:i/>
          <w:sz w:val="20"/>
          <w:u w:val="single"/>
        </w:rPr>
      </w:r>
    </w:p>
    <w:p>
      <w:pPr>
        <w:pStyle w:val="Normal"/>
        <w:numPr>
          <w:ilvl w:val="0"/>
          <w:numId w:val="1"/>
        </w:numPr>
        <w:rPr/>
      </w:pPr>
      <w:r>
        <w:rPr/>
        <w:t>All conditions precedent must be satisfied or waived by December 31, 2000 (the “Scheduled Conditions Precedent Date”), or the Power Sale Agreement becomes terminable by either party at any time until the notice of satisfaction or waiver is given.  Appropriate permits, transmission contracts, and other conditions may not be satisfied by that date and, in the event an extension of the Scheduled Conditions Precedent Date is not granted, the Power Sale Agreement may be terminated by one of the parties.</w:t>
      </w:r>
    </w:p>
    <w:p>
      <w:pPr>
        <w:pStyle w:val="Normal"/>
        <w:ind w:start="360" w:end="0"/>
        <w:rPr/>
      </w:pPr>
      <w:r>
        <w:rPr/>
      </w:r>
    </w:p>
    <w:p>
      <w:pPr>
        <w:pStyle w:val="Normal"/>
        <w:numPr>
          <w:ilvl w:val="0"/>
          <w:numId w:val="1"/>
        </w:numPr>
        <w:rPr/>
      </w:pPr>
      <w:r>
        <w:rPr/>
        <w:t>The Buyer will be required to obtain a power import permit from the Comision Reguladora de Electricidad (“CRE”) to be authorized to import and purchase power.  There is the extremely remote possibility that the CRE would not grant a permit to the Buyer. To assure that the Buyer’s permit application is timely and accurately filed with the CRE, Enron is, through Mexican counsel, preparing the application and assisting the Buyer with the application process.</w:t>
      </w:r>
    </w:p>
    <w:p>
      <w:pPr>
        <w:pStyle w:val="Normal"/>
        <w:ind w:start="360" w:end="0"/>
        <w:rPr/>
      </w:pPr>
      <w:r>
        <w:rPr/>
      </w:r>
    </w:p>
    <w:p>
      <w:pPr>
        <w:pStyle w:val="Normal"/>
        <w:numPr>
          <w:ilvl w:val="0"/>
          <w:numId w:val="1"/>
        </w:numPr>
        <w:rPr>
          <w:b/>
        </w:rPr>
      </w:pPr>
      <w:r>
        <w:rPr/>
        <w:t>The negotiated provisions regarding the purchase obligation could be argued as a defense to the take or pay requirements for energy, and such take or pay requirements for energy could be argued not to be due in the event of Buyer’s force majeure.  Negotiated changes left intact the provisions regarding the take or pay obligation which state that Seller is not required to resell energy, and the provisions regarding force majeure can be argued to require payment of take or pay payments during a force majeure.  If the contemplated power marketing services agreement is executed, this issue will be eliminated because Enron will then have contractually agreed to resell energy.</w:t>
      </w:r>
    </w:p>
    <w:p>
      <w:pPr>
        <w:pStyle w:val="Normal"/>
        <w:rPr>
          <w:b/>
        </w:rPr>
      </w:pPr>
      <w:r>
        <w:rPr>
          <w:b/>
        </w:rPr>
      </w:r>
    </w:p>
    <w:p>
      <w:pPr>
        <w:pStyle w:val="Normal"/>
        <w:rPr/>
      </w:pPr>
      <w:r>
        <w:rPr/>
        <w:t>It is my understanding that certain issues have been raised concerning credit risk arising out of the terms of the Power Sale Agreement.  However, since I did not participate in discussions concerning this matter, credit risk is not addressed in this risk memo.  Should you wish me to analyze the Power Sale Agreement relative to those discussions, please advise of the issues and I will include comments relative thereto.</w:t>
      </w:r>
    </w:p>
    <w:p>
      <w:pPr>
        <w:pStyle w:val="Normal"/>
        <w:rPr/>
      </w:pPr>
      <w:r>
        <w:rPr/>
      </w:r>
    </w:p>
    <w:p>
      <w:pPr>
        <w:pStyle w:val="Normal"/>
        <w:rPr>
          <w:b/>
        </w:rPr>
      </w:pPr>
      <w:r>
        <w:rPr/>
        <w:t>This memo addresses only legal risks arising out of the Power Sale Agreement and Mexico-related risks.  It does not address risks that might arise out of regulatory or other issues on the United States side of the border.</w:t>
      </w:r>
    </w:p>
    <w:p>
      <w:pPr>
        <w:pStyle w:val="Heading"/>
        <w:jc w:val="both"/>
        <w:rPr>
          <w:rFonts w:ascii="Times New Roman" w:hAnsi="Times New Roman" w:cs="Times New Roman"/>
          <w:b w:val="false"/>
          <w:sz w:val="20"/>
        </w:rPr>
      </w:pPr>
      <w:r>
        <w:rPr>
          <w:rFonts w:cs="Times New Roman" w:ascii="Times New Roman" w:hAnsi="Times New Roman"/>
          <w:b w:val="false"/>
          <w:sz w:val="20"/>
        </w:rPr>
      </w:r>
    </w:p>
    <w:p>
      <w:pPr>
        <w:pStyle w:val="Heading"/>
        <w:jc w:val="both"/>
        <w:rPr>
          <w:rFonts w:ascii="Times New Roman" w:hAnsi="Times New Roman" w:cs="Times New Roman"/>
          <w:b w:val="false"/>
          <w:sz w:val="20"/>
        </w:rPr>
      </w:pPr>
      <w:r>
        <w:rPr>
          <w:rFonts w:cs="Times New Roman" w:ascii="Times New Roman" w:hAnsi="Times New Roman"/>
          <w:b w:val="false"/>
          <w:sz w:val="20"/>
        </w:rPr>
        <w:t>Should you have any questions or comments, please do not hesitate to contact me.</w:t>
      </w:r>
    </w:p>
    <w:sectPr>
      <w:headerReference w:type="even" r:id="rId3"/>
      <w:headerReference w:type="default" r:id="rId4"/>
      <w:type w:val="nextPage"/>
      <w:pgSz w:w="12240" w:h="15840"/>
      <w:pgMar w:left="1152" w:right="1152"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s>
      <w:rPr/>
    </w:pPr>
    <w:r>
      <w:rPr/>
    </w:r>
    <w:r>
      <mc:AlternateContent>
        <mc:Choice Requires="wps">
          <w:drawing>
            <wp:anchor behindDoc="0" distT="0" distB="0" distL="118745" distR="118745" simplePos="0" locked="0" layoutInCell="0" allowOverlap="1" relativeHeight="3">
              <wp:simplePos x="0" y="0"/>
              <wp:positionH relativeFrom="page">
                <wp:posOffset>2562225</wp:posOffset>
              </wp:positionH>
              <wp:positionV relativeFrom="paragraph">
                <wp:posOffset>229235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sz w:val="32"/>
                            </w:rPr>
                          </w:pPr>
                          <w:r>
                            <w:rPr>
                              <w:sz w:val="32"/>
                            </w:rPr>
                            <w:t>Interoffice</w:t>
                          </w:r>
                        </w:p>
                        <w:p>
                          <w:pPr>
                            <w:pStyle w:val="Normal"/>
                            <w:ind w:start="3600" w:end="0"/>
                            <w:rPr>
                              <w:sz w:val="32"/>
                            </w:rPr>
                          </w:pPr>
                          <w:r>
                            <w:rPr>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8.05pt;mso-position-vertical-relative:text;margin-left:201.75pt;mso-position-horizontal-relative:page">
              <v:fill opacity="0f"/>
              <v:textbox inset="0in,0in,0in,0in">
                <w:txbxContent>
                  <w:p>
                    <w:pPr>
                      <w:pStyle w:val="Normal"/>
                      <w:ind w:start="3600" w:end="0"/>
                      <w:rPr>
                        <w:sz w:val="32"/>
                      </w:rPr>
                    </w:pPr>
                    <w:r>
                      <w:rPr>
                        <w:sz w:val="32"/>
                      </w:rPr>
                      <w:t>Interoffice</w:t>
                    </w:r>
                  </w:p>
                  <w:p>
                    <w:pPr>
                      <w:pStyle w:val="Normal"/>
                      <w:ind w:start="3600" w:end="0"/>
                      <w:rPr>
                        <w:sz w:val="32"/>
                      </w:rPr>
                    </w:pPr>
                    <w:r>
                      <w:rPr>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968" w:leader="none"/>
        <w:tab w:val="right" w:pos="993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2000-12-02T15:52:00Z</dcterms:created>
  <dc:creator>kaye ellis</dc:creator>
  <dc:description/>
  <dc:language>en-CA</dc:language>
  <cp:lastModifiedBy>pbancza</cp:lastModifiedBy>
  <cp:lastPrinted>2000-12-02T13:00:00Z</cp:lastPrinted>
  <dcterms:modified xsi:type="dcterms:W3CDTF">2000-12-02T16:58:00Z</dcterms:modified>
  <cp:revision>5</cp:revision>
  <dc:subject/>
  <dc:title> </dc:title>
</cp:coreProperties>
</file>