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widowControl/>
        <w:ind w:hanging="0" w:start="0" w:end="-36"/>
        <w:jc w:val="center"/>
        <w:rPr>
          <w:bCs/>
          <w:i w:val="false"/>
          <w:i w:val="false"/>
        </w:rPr>
      </w:pPr>
      <w:r>
        <w:rPr>
          <w:bCs/>
          <w:i w:val="false"/>
        </w:rPr>
        <w:t>PRIVILEGED &amp; CONFIDENTIAL MEMORANDUM</w:t>
      </w:r>
    </w:p>
    <w:p>
      <w:pPr>
        <w:pStyle w:val="Heading2"/>
        <w:widowControl/>
        <w:ind w:hanging="0" w:start="0" w:end="-36"/>
        <w:rPr>
          <w:b w:val="false"/>
          <w:bCs/>
          <w:i w:val="false"/>
          <w:i w:val="false"/>
        </w:rPr>
      </w:pPr>
      <w:r>
        <w:rPr>
          <w:b w:val="false"/>
          <w:bCs/>
          <w:i w:val="false"/>
        </w:rPr>
      </w:r>
    </w:p>
    <w:p>
      <w:pPr>
        <w:pStyle w:val="Heading2"/>
        <w:widowControl/>
        <w:ind w:hanging="0" w:start="0" w:end="-36"/>
        <w:rPr>
          <w:b w:val="false"/>
          <w:i w:val="false"/>
          <w:i w:val="false"/>
        </w:rPr>
      </w:pPr>
      <w:r>
        <w:rPr>
          <w:b w:val="false"/>
          <w:i w:val="false"/>
        </w:rPr>
        <w:t>To:</w:t>
        <w:tab/>
        <w:t>Mark Haedicke, Cliff Baxter, Frank Stabler</w:t>
      </w:r>
    </w:p>
    <w:p>
      <w:pPr>
        <w:pStyle w:val="Normal"/>
        <w:rPr/>
      </w:pPr>
      <w:r>
        <w:rPr/>
        <w:t>From:</w:t>
        <w:tab/>
        <w:t>Randy Young</w:t>
      </w:r>
    </w:p>
    <w:p>
      <w:pPr>
        <w:pStyle w:val="Heading2"/>
        <w:widowControl/>
        <w:ind w:hanging="0" w:start="0" w:end="-36"/>
        <w:rPr/>
      </w:pPr>
      <w:r>
        <w:rPr>
          <w:b w:val="false"/>
          <w:i w:val="false"/>
        </w:rPr>
        <w:t>Subject:</w:t>
      </w:r>
      <w:r>
        <w:rPr>
          <w:bCs/>
          <w:i w:val="false"/>
        </w:rPr>
        <w:t xml:space="preserve"> </w:t>
        <w:tab/>
      </w:r>
      <w:r>
        <w:rPr>
          <w:b w:val="false"/>
          <w:i w:val="false"/>
        </w:rPr>
        <w:t>Sale of CEG and CEG-Rio to Petrobras</w:t>
      </w:r>
    </w:p>
    <w:p>
      <w:pPr>
        <w:pStyle w:val="Normal"/>
        <w:rPr/>
      </w:pPr>
      <w:r>
        <w:rPr/>
        <w:t>Date:</w:t>
        <w:tab/>
      </w:r>
      <w:r>
        <w:rPr/>
        <w:fldChar w:fldCharType="begin"/>
      </w:r>
      <w:r>
        <w:rPr/>
        <w:instrText xml:space="preserve"> DATE \@"MMMM\ d', 'yyyy" </w:instrText>
      </w:r>
      <w:r>
        <w:rPr/>
        <w:fldChar w:fldCharType="separate"/>
      </w:r>
      <w:r>
        <w:rPr/>
        <w:t>September 28, 2025</w:t>
      </w:r>
      <w:r>
        <w:rPr/>
        <w:fldChar w:fldCharType="end"/>
      </w:r>
    </w:p>
    <w:p>
      <w:pPr>
        <w:pStyle w:val="Normal"/>
        <w:pBdr>
          <w:bottom w:val="dotted" w:sz="24" w:space="1" w:color="000000"/>
        </w:pBdr>
        <w:rPr/>
      </w:pPr>
      <w:r>
        <w:rPr/>
      </w:r>
    </w:p>
    <w:p>
      <w:pPr>
        <w:pStyle w:val="Normal"/>
        <w:rPr/>
      </w:pPr>
      <w:r>
        <w:rPr/>
      </w:r>
    </w:p>
    <w:p>
      <w:pPr>
        <w:pStyle w:val="Heading2"/>
        <w:widowControl/>
        <w:ind w:hanging="0" w:start="0" w:end="-36"/>
        <w:jc w:val="both"/>
        <w:rPr>
          <w:b w:val="false"/>
          <w:i w:val="false"/>
          <w:i w:val="false"/>
        </w:rPr>
      </w:pPr>
      <w:r>
        <w:rPr>
          <w:b w:val="false"/>
          <w:i w:val="false"/>
        </w:rPr>
        <w:t xml:space="preserve">Enron has substantially completed negotiations for a stock purchase agreement (“SPA”) with Petroleo Brasileiro S.A. (“Petrobras”) to sell Enron’s indirect interests in CEG and CEG-Rio (“Interests”), the two gas distribution companies serving Rio de Janeiro (the “Transaction”).  Enron acquired the Interests from the State of Rio de Janeiro in a 1997 bid with GasNatural, Iberdrola and Pluspetrol (the “Spanish Parties”). </w:t>
      </w:r>
    </w:p>
    <w:p>
      <w:pPr>
        <w:pStyle w:val="Heading2"/>
        <w:widowControl/>
        <w:ind w:hanging="0" w:start="0" w:end="-36"/>
        <w:jc w:val="both"/>
        <w:rPr>
          <w:b w:val="false"/>
          <w:i w:val="false"/>
          <w:i w:val="false"/>
        </w:rPr>
      </w:pPr>
      <w:r>
        <w:rPr>
          <w:b w:val="false"/>
          <w:i w:val="false"/>
        </w:rPr>
      </w:r>
    </w:p>
    <w:p>
      <w:pPr>
        <w:pStyle w:val="Heading2"/>
        <w:widowControl/>
        <w:ind w:hanging="0" w:start="0" w:end="-36"/>
        <w:jc w:val="both"/>
        <w:rPr/>
      </w:pPr>
      <w:r>
        <w:rPr>
          <w:b w:val="false"/>
          <w:i w:val="false"/>
          <w:color w:val="000000"/>
        </w:rPr>
        <w:t xml:space="preserve">Enron owns </w:t>
      </w:r>
      <w:r>
        <w:rPr>
          <w:b w:val="false"/>
          <w:i w:val="false"/>
        </w:rPr>
        <w:t>45%, GasNatural 33.5%, Iberdrola 17.5% and Pluspetrol 4% of the CEG control group.  The CEG control group, in turn, holds 56.41% of CEG, giving Enron a net ownership in CEG of 25.38%. BNDES Participaçoes S.A. (“BNDES”) holds 34.55% and other investors own 9.04%. BNDES and these other investors are not part of the CEG control group.</w:t>
      </w:r>
    </w:p>
    <w:p>
      <w:pPr>
        <w:pStyle w:val="Heading2"/>
        <w:widowControl/>
        <w:ind w:hanging="0" w:start="0" w:end="-36"/>
        <w:jc w:val="both"/>
        <w:rPr>
          <w:b w:val="false"/>
          <w:i w:val="false"/>
          <w:i w:val="false"/>
        </w:rPr>
      </w:pPr>
      <w:r>
        <w:rPr>
          <w:b w:val="false"/>
          <w:i w:val="false"/>
        </w:rPr>
      </w:r>
    </w:p>
    <w:p>
      <w:pPr>
        <w:pStyle w:val="Heading2"/>
        <w:widowControl/>
        <w:ind w:hanging="0" w:start="0" w:end="-36"/>
        <w:jc w:val="both"/>
        <w:rPr>
          <w:b w:val="false"/>
          <w:i w:val="false"/>
          <w:i w:val="false"/>
        </w:rPr>
      </w:pPr>
      <w:r>
        <w:rPr>
          <w:b w:val="false"/>
          <w:i w:val="false"/>
        </w:rPr>
        <w:t>Enron, GasNatural, Iberdrola and Pluspetrol own the same participation percentages in the CEG-Rio control group that they own in the CEG control group.The CEG-Rio control group, however, holds only 75% of CEG-Rio, giving Enron a net ownership interest in CEG-Rio of 33.75%. Petrobras Distribuidora S.A. holds the remaining 25%, but is not part of the CEG-Rio control group.</w:t>
      </w:r>
    </w:p>
    <w:p>
      <w:pPr>
        <w:pStyle w:val="Heading2"/>
        <w:widowControl/>
        <w:ind w:hanging="0" w:start="0" w:end="-36"/>
        <w:jc w:val="both"/>
        <w:rPr>
          <w:b w:val="false"/>
          <w:i w:val="false"/>
          <w:i w:val="false"/>
        </w:rPr>
      </w:pPr>
      <w:r>
        <w:rPr>
          <w:b w:val="false"/>
          <w:i w:val="false"/>
        </w:rPr>
      </w:r>
    </w:p>
    <w:p>
      <w:pPr>
        <w:pStyle w:val="Heading2"/>
        <w:widowControl/>
        <w:ind w:hanging="0" w:start="0" w:end="-36"/>
        <w:jc w:val="both"/>
        <w:rPr>
          <w:b w:val="false"/>
          <w:i w:val="false"/>
          <w:i w:val="false"/>
        </w:rPr>
      </w:pPr>
      <w:r>
        <w:rPr>
          <w:b w:val="false"/>
          <w:i w:val="false"/>
        </w:rPr>
        <w:t xml:space="preserve">The Transaction involves the sale of 100% of the capital stock of Enron International Brazil 1997 Ltd. and Enron International Brazil Gas Holdings Ltd. (the “Caycos”), Cayman holding companies for GEC Participaçoes Ltda (“GEC”) and Ementhal Participaçoes Ltda (“Ementhal”). GEC and Ementhal are Brazilian companies holding Enron’s direct interests in CEG and CEG-Rio. </w:t>
      </w:r>
    </w:p>
    <w:p>
      <w:pPr>
        <w:pStyle w:val="Heading2"/>
        <w:widowControl/>
        <w:ind w:hanging="0" w:start="0" w:end="-36"/>
        <w:jc w:val="both"/>
        <w:rPr>
          <w:b w:val="false"/>
          <w:i w:val="false"/>
          <w:i w:val="false"/>
        </w:rPr>
      </w:pPr>
      <w:r>
        <w:rPr>
          <w:b w:val="false"/>
          <w:i w:val="false"/>
        </w:rPr>
      </w:r>
    </w:p>
    <w:p>
      <w:pPr>
        <w:pStyle w:val="Heading2"/>
        <w:widowControl/>
        <w:ind w:hanging="0" w:start="0" w:end="-36"/>
        <w:jc w:val="both"/>
        <w:rPr>
          <w:b w:val="false"/>
          <w:i w:val="false"/>
          <w:i w:val="false"/>
        </w:rPr>
      </w:pPr>
      <w:r>
        <w:rPr>
          <w:b w:val="false"/>
          <w:i w:val="false"/>
        </w:rPr>
        <w:t>Petrobras and its designees, Termogas, a subsidiary of a Brazilian company, and Petros, the Petrobras employee pension fund (the “Buyers”), have agreed to a cash price of US$241 Million, all to be funded by Petrobras outside Brazil. Petrobras has also agreed to relinquish its preference rights over Enron’s shares in seven other Brazilian gas distribution companies and to not interfere in the process of their sale (the “Gaspart Waiver”). CS First Boston has provided a valuation opinion in support of the Gaspart Waiver indicating a value between US$40 million and US$60 million. This opinion assumes that the other state or state-controlled shareholders will not exercise their rights of first refusal, which may or may not be correct.</w:t>
      </w:r>
    </w:p>
    <w:p>
      <w:pPr>
        <w:pStyle w:val="Heading2"/>
        <w:widowControl/>
        <w:ind w:hanging="0" w:start="0" w:end="-36"/>
        <w:jc w:val="both"/>
        <w:rPr>
          <w:b w:val="false"/>
          <w:i w:val="false"/>
          <w:i w:val="false"/>
          <w:color w:val="000000"/>
        </w:rPr>
      </w:pPr>
      <w:r>
        <w:rPr>
          <w:b w:val="false"/>
          <w:i w:val="false"/>
          <w:color w:val="000000"/>
        </w:rPr>
      </w:r>
    </w:p>
    <w:p>
      <w:pPr>
        <w:pStyle w:val="Heading1"/>
        <w:ind w:hanging="0" w:start="0"/>
        <w:jc w:val="center"/>
        <w:rPr/>
      </w:pPr>
      <w:r>
        <w:rPr/>
        <w:t>Overview of Major Legal Risks</w:t>
      </w:r>
    </w:p>
    <w:p>
      <w:pPr>
        <w:pStyle w:val="Normal"/>
        <w:rPr/>
      </w:pPr>
      <w:r>
        <w:rPr/>
      </w:r>
    </w:p>
    <w:p>
      <w:pPr>
        <w:pStyle w:val="Heading2"/>
        <w:widowControl/>
        <w:ind w:hanging="0" w:start="0" w:end="-36"/>
        <w:jc w:val="both"/>
        <w:rPr>
          <w:b w:val="false"/>
          <w:i w:val="false"/>
          <w:i w:val="false"/>
          <w:u w:val="single"/>
        </w:rPr>
      </w:pPr>
      <w:r>
        <w:rPr>
          <w:b w:val="false"/>
          <w:i w:val="false"/>
          <w:u w:val="single"/>
        </w:rPr>
        <w:t>Dispute with the Spanish Parties over the Existence of a Right of First Refusal</w:t>
      </w:r>
    </w:p>
    <w:p>
      <w:pPr>
        <w:pStyle w:val="Heading2"/>
        <w:widowControl/>
        <w:ind w:hanging="0" w:start="0" w:end="-36"/>
        <w:jc w:val="both"/>
        <w:rPr>
          <w:b w:val="false"/>
          <w:i w:val="false"/>
          <w:i w:val="false"/>
          <w:u w:val="single"/>
        </w:rPr>
      </w:pPr>
      <w:r>
        <w:rPr>
          <w:b w:val="false"/>
          <w:i w:val="false"/>
          <w:u w:val="single"/>
        </w:rPr>
      </w:r>
    </w:p>
    <w:p>
      <w:pPr>
        <w:pStyle w:val="Heading2"/>
        <w:widowControl/>
        <w:numPr>
          <w:ilvl w:val="0"/>
          <w:numId w:val="4"/>
        </w:numPr>
        <w:ind w:hanging="360" w:start="360" w:end="-36"/>
        <w:jc w:val="both"/>
        <w:rPr>
          <w:b w:val="false"/>
          <w:i w:val="false"/>
          <w:i w:val="false"/>
        </w:rPr>
      </w:pPr>
      <w:r>
        <w:rPr>
          <w:b w:val="false"/>
          <w:i w:val="false"/>
        </w:rPr>
        <w:t>The Spanish Parties claim they hold rights of first refusal (“ROFRs”) with respect to the Transaction that arise out of language in an annex to the original Participation Agreement and under a shareholder agreement assumed pursuant to the bid. Opinions from Spanish and Brazilian counsel support the interpretation that these alleged ROFRs are invalid or inapplicable to the Transaction. These opinions are subject, however, to interpretation risk.  The relevant provisions contain limited and potentially ambiguous language, and the disputes will be construed under Spanish and Brazilian law, each of which tends to focus more on the parties’ specific intent than on the objective intent of the documents.</w:t>
      </w:r>
    </w:p>
    <w:p>
      <w:pPr>
        <w:pStyle w:val="Normal"/>
        <w:rPr>
          <w:b/>
          <w:i/>
          <w:i/>
        </w:rPr>
      </w:pPr>
      <w:r>
        <w:rPr>
          <w:b/>
          <w:i/>
        </w:rPr>
      </w:r>
    </w:p>
    <w:p>
      <w:pPr>
        <w:pStyle w:val="Normal"/>
        <w:numPr>
          <w:ilvl w:val="0"/>
          <w:numId w:val="4"/>
        </w:numPr>
        <w:rPr/>
      </w:pPr>
      <w:r>
        <w:rPr/>
        <w:t xml:space="preserve">To mitigate against potential claims, Enron intends (and is permitted by the PSA) to offer the Interests to the Spanish Parties under the general terms and conditions of the PSA, modified to omit structural features unique to Petrobras’s concerns, at the sales price under the PSA (US$241 million) </w:t>
      </w:r>
      <w:r>
        <w:rPr>
          <w:u w:val="single"/>
        </w:rPr>
        <w:t>plus</w:t>
      </w:r>
      <w:r>
        <w:rPr/>
        <w:t xml:space="preserve"> US$50 million to compensate for the value of the Gaspart Waiver. </w:t>
      </w:r>
    </w:p>
    <w:p>
      <w:pPr>
        <w:pStyle w:val="Normal"/>
        <w:rPr/>
      </w:pPr>
      <w:r>
        <w:rPr/>
      </w:r>
    </w:p>
    <w:p>
      <w:pPr>
        <w:pStyle w:val="Normal"/>
        <w:numPr>
          <w:ilvl w:val="0"/>
          <w:numId w:val="4"/>
        </w:numPr>
        <w:rPr/>
      </w:pPr>
      <w:r>
        <w:rPr/>
        <w:t>The Spanish Parties may challenge the value attributed to the Gaspart Waiver, even though it is supported by the CS First Boston opinion.  Enron has the discretion, however, to negotiate a lower value for the Gaspart Waiver or to reach other terms or accommodations with the Spanish Parties.</w:t>
      </w:r>
    </w:p>
    <w:p>
      <w:pPr>
        <w:pStyle w:val="Normal"/>
        <w:rPr/>
      </w:pPr>
      <w:r>
        <w:rPr/>
      </w:r>
    </w:p>
    <w:p>
      <w:pPr>
        <w:pStyle w:val="Normal"/>
        <w:numPr>
          <w:ilvl w:val="0"/>
          <w:numId w:val="4"/>
        </w:numPr>
        <w:rPr/>
      </w:pPr>
      <w:r>
        <w:rPr/>
        <w:t>Enron has 40 days to terminate the PSA if during that time Enron enters into an agreement to sell the Interests to any of the Spanish Parties or if an action is initiated by any of the Spanish Parties in connection with the ROFR.  If Enron does not terminate within this 40-day period, Enron will be required to close with, and to indemnify, the Buyers against claims asserted within 2 years after closing.  This indemnity is capped at 100% of the cash purchase price (US$241 Million) and is subject to a two-year contractual limitation period. It is possible that no agreement will be reached and no action filed by the end of the 40-day termination period. This risk is mitigated by Enron’s ability to negotiate freely with the Buyer and to sell on terms more favorable than those Petrobras offered.</w:t>
      </w:r>
    </w:p>
    <w:p>
      <w:pPr>
        <w:pStyle w:val="Normal"/>
        <w:rPr/>
      </w:pPr>
      <w:r>
        <w:rPr/>
      </w:r>
    </w:p>
    <w:p>
      <w:pPr>
        <w:pStyle w:val="Normal"/>
        <w:rPr>
          <w:u w:val="single"/>
        </w:rPr>
      </w:pPr>
      <w:r>
        <w:rPr>
          <w:u w:val="single"/>
        </w:rPr>
        <w:t>Closing Risks Associated with Conditions Precedent</w:t>
      </w:r>
    </w:p>
    <w:p>
      <w:pPr>
        <w:pStyle w:val="Normal"/>
        <w:rPr>
          <w:u w:val="single"/>
        </w:rPr>
      </w:pPr>
      <w:r>
        <w:rPr>
          <w:u w:val="single"/>
        </w:rPr>
      </w:r>
    </w:p>
    <w:p>
      <w:pPr>
        <w:pStyle w:val="Normal"/>
        <w:numPr>
          <w:ilvl w:val="0"/>
          <w:numId w:val="5"/>
        </w:numPr>
        <w:rPr>
          <w:u w:val="single"/>
        </w:rPr>
      </w:pPr>
      <w:r>
        <w:rPr/>
        <w:t xml:space="preserve">The PSA requires all governmental authorizations to be obtained prior to closing, including the approval of ASEP, the state regulator. The PSA alos requires the ownership of GEC and Ementhal to be restructured (through either a reverse merger, stock split-off, liquidation or capital reduction) prior to closing (the “Restructuring”). </w:t>
      </w:r>
    </w:p>
    <w:p>
      <w:pPr>
        <w:pStyle w:val="Normal"/>
        <w:rPr>
          <w:u w:val="single"/>
        </w:rPr>
      </w:pPr>
      <w:r>
        <w:rPr>
          <w:u w:val="single"/>
        </w:rPr>
      </w:r>
    </w:p>
    <w:p>
      <w:pPr>
        <w:pStyle w:val="Normal"/>
        <w:numPr>
          <w:ilvl w:val="0"/>
          <w:numId w:val="5"/>
        </w:numPr>
        <w:rPr>
          <w:u w:val="single"/>
        </w:rPr>
      </w:pPr>
      <w:r>
        <w:rPr/>
        <w:t>If Petrobras’s interest in CEG, when combined with that of BNDES (another Brazilian government-controlled entity that is a CEG shareholder) aggregate to more than 50% of CEG or CEG-Rio’s equity, a risk exists that CEG or CEG-Rio, as applicable, will be deemed to have been “renationalized” in violation of the national legislation that granted control over gas distribution to the various Brazilian states.  Brazilian counsel has advised that, while there is no precedent on this point, the structure of the Transaction (with a portion of the Interests being purchased by Petros and Termogas) appears to avoid renationalization of CEG and CEG-Rio. Although mainly a Petrobras concern, a suit on this basis prior to closing would give rise to a condition precedent to closing.</w:t>
      </w:r>
    </w:p>
    <w:p>
      <w:pPr>
        <w:pStyle w:val="Normal"/>
        <w:rPr>
          <w:u w:val="single"/>
        </w:rPr>
      </w:pPr>
      <w:r>
        <w:rPr>
          <w:u w:val="single"/>
        </w:rPr>
      </w:r>
    </w:p>
    <w:p>
      <w:pPr>
        <w:pStyle w:val="Normal"/>
        <w:numPr>
          <w:ilvl w:val="0"/>
          <w:numId w:val="5"/>
        </w:numPr>
        <w:rPr>
          <w:u w:val="single"/>
        </w:rPr>
      </w:pPr>
      <w:r>
        <w:rPr/>
        <w:t xml:space="preserve">If all closing conditions are not satisfied or waived by a date yet to be determined in the PSA (still being negotiated), any party has the right to terminate. </w:t>
      </w:r>
    </w:p>
    <w:p>
      <w:pPr>
        <w:pStyle w:val="Normal"/>
        <w:rPr>
          <w:u w:val="single"/>
        </w:rPr>
      </w:pPr>
      <w:r>
        <w:rPr>
          <w:u w:val="single"/>
        </w:rPr>
      </w:r>
    </w:p>
    <w:p>
      <w:pPr>
        <w:pStyle w:val="Normal"/>
        <w:rPr>
          <w:u w:val="single"/>
        </w:rPr>
      </w:pPr>
      <w:r>
        <w:rPr>
          <w:u w:val="single"/>
        </w:rPr>
        <w:t>Brazilian Tax Risk</w:t>
      </w:r>
    </w:p>
    <w:p>
      <w:pPr>
        <w:pStyle w:val="Normal"/>
        <w:rPr>
          <w:u w:val="single"/>
        </w:rPr>
      </w:pPr>
      <w:r>
        <w:rPr>
          <w:u w:val="single"/>
        </w:rPr>
      </w:r>
    </w:p>
    <w:p>
      <w:pPr>
        <w:pStyle w:val="Normal"/>
        <w:numPr>
          <w:ilvl w:val="0"/>
          <w:numId w:val="2"/>
        </w:numPr>
        <w:rPr/>
      </w:pPr>
      <w:r>
        <w:rPr/>
        <w:t>The payment of the purchase price offshore is outside Brazilian taxing jurisdiction and essentially free of Brazilian tax risk. The Restructuring (of GEC and Ementhal) should be tax-free in Brazil. The stock sales to Petros and Termogas, however, cause some exposure for the Caycos to Brazilian tax.</w:t>
      </w:r>
    </w:p>
    <w:p>
      <w:pPr>
        <w:pStyle w:val="Normal"/>
        <w:rPr/>
      </w:pPr>
      <w:r>
        <w:rPr/>
      </w:r>
    </w:p>
    <w:p>
      <w:pPr>
        <w:pStyle w:val="Normal"/>
        <w:numPr>
          <w:ilvl w:val="0"/>
          <w:numId w:val="2"/>
        </w:numPr>
        <w:rPr>
          <w:u w:val="single"/>
        </w:rPr>
      </w:pPr>
      <w:r>
        <w:rPr/>
        <w:t>Brazilian tax advisors have advised that a strong legal basis exists that these stock sales are non-taxable in Brazil. In addition, if they were deemed to be taxable in Brazil, the parties liable for the taxes would be the Caycos, which will be owned by the Buyers. To further clarify the tax risk allocation, however, the PSA specifically provides that Petrobras will bear all taxes associated with the Restructuring.</w:t>
      </w:r>
    </w:p>
    <w:p>
      <w:pPr>
        <w:pStyle w:val="Normal"/>
        <w:rPr>
          <w:u w:val="single"/>
        </w:rPr>
      </w:pPr>
      <w:r>
        <w:rPr>
          <w:u w:val="single"/>
        </w:rPr>
      </w:r>
    </w:p>
    <w:p>
      <w:pPr>
        <w:pStyle w:val="Normal"/>
        <w:rPr>
          <w:u w:val="single"/>
        </w:rPr>
      </w:pPr>
      <w:r>
        <w:rPr>
          <w:u w:val="single"/>
        </w:rPr>
        <w:t>Post-Closing General Indemnity Exposure</w:t>
      </w:r>
    </w:p>
    <w:p>
      <w:pPr>
        <w:pStyle w:val="Normal"/>
        <w:rPr>
          <w:u w:val="single"/>
        </w:rPr>
      </w:pPr>
      <w:r>
        <w:rPr>
          <w:u w:val="single"/>
        </w:rPr>
      </w:r>
    </w:p>
    <w:p>
      <w:pPr>
        <w:pStyle w:val="Normal"/>
        <w:numPr>
          <w:ilvl w:val="0"/>
          <w:numId w:val="3"/>
        </w:numPr>
        <w:rPr/>
      </w:pPr>
      <w:r>
        <w:rPr/>
        <w:t xml:space="preserve">The PSA contains a customary provision obligating Enron to indemnify the Buyers for breaches of representations and warranties. </w:t>
      </w:r>
    </w:p>
    <w:p>
      <w:pPr>
        <w:pStyle w:val="Normal"/>
        <w:rPr/>
      </w:pPr>
      <w:r>
        <w:rPr/>
      </w:r>
    </w:p>
    <w:p>
      <w:pPr>
        <w:pStyle w:val="Normal"/>
        <w:numPr>
          <w:ilvl w:val="0"/>
          <w:numId w:val="3"/>
        </w:numPr>
        <w:rPr/>
      </w:pPr>
      <w:r>
        <w:rPr/>
        <w:t>To qualify for indemnification, aggregate losses must exceed 2.0% of the purchase price, after which the indemnified party may recover its losses from the first dollar of losses incurred. Total indemnified losses are not permitted to exceed 50% of the purchase price. The general survival period is two years, and the survival period for tax matters is six years.</w:t>
      </w:r>
    </w:p>
    <w:p>
      <w:pPr>
        <w:pStyle w:val="Normal"/>
        <w:rPr/>
      </w:pPr>
      <w:r>
        <w:rPr/>
      </w:r>
    </w:p>
    <w:p>
      <w:pPr>
        <w:pStyle w:val="Normal"/>
        <w:numPr>
          <w:ilvl w:val="0"/>
          <w:numId w:val="3"/>
        </w:numPr>
        <w:rPr>
          <w:u w:val="single"/>
        </w:rPr>
      </w:pPr>
      <w:r>
        <w:rPr/>
        <w:t>Liabilities for environmental losses are not recoverable if the act or omission was disclosed in environmental audits, studies or correspondence made available to Petrobras.  Representations and warranties relating to CEG and CEG-Rio are qualified as being given only to the Knowledge of the Parent (as defined) and exclude matters within the actual knowledge of any director or officer of Petrobras.  The PSA excludes punitive, special, exemplary, incidental or consequential damages, including damages for loss of profits or revenues, or losses by reason of cost of capital.</w:t>
      </w:r>
    </w:p>
    <w:p>
      <w:pPr>
        <w:pStyle w:val="Normal"/>
        <w:rPr>
          <w:u w:val="single"/>
        </w:rPr>
      </w:pPr>
      <w:r>
        <w:rPr>
          <w:u w:val="single"/>
        </w:rPr>
      </w:r>
    </w:p>
    <w:p>
      <w:pPr>
        <w:pStyle w:val="Normal"/>
        <w:rPr/>
      </w:pPr>
      <w:r>
        <w:rPr>
          <w:u w:val="single"/>
        </w:rPr>
        <w:t>Legal Risk Rating</w:t>
      </w:r>
      <w:r>
        <w:rPr/>
        <w:t>:  5</w:t>
      </w:r>
    </w:p>
    <w:sectPr>
      <w:footerReference w:type="default" r:id="rId2"/>
      <w:type w:val="nextPage"/>
      <w:pgSz w:w="12240" w:h="15840"/>
      <w:pgMar w:left="1800" w:right="1800" w:gutter="0" w:header="0" w:top="810" w:footer="72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widowControl w:val="false"/>
      <w:numPr>
        <w:ilvl w:val="1"/>
        <w:numId w:val="1"/>
      </w:numPr>
      <w:outlineLvl w:val="1"/>
    </w:pPr>
    <w:rPr>
      <w:b/>
      <w:i/>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2001-04-20T21:29:00Z</dcterms:created>
  <dc:creator>ENRON</dc:creator>
  <dc:description/>
  <dc:language>en-CA</dc:language>
  <cp:lastModifiedBy>ryoung4</cp:lastModifiedBy>
  <dcterms:modified xsi:type="dcterms:W3CDTF">2001-04-20T21:51:00Z</dcterms:modified>
  <cp:revision>3</cp:revision>
  <dc:subject/>
  <dc:title>Enron Corp</dc:title>
</cp:coreProperties>
</file>