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Energy Services, Inc. is finalizing an Electric Energy Services and Sales Agreement with Sysco Corporation and its California affiliates for their facilities located in the State of California.  Set forth below are certain risks associated with the proposed transaction:</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Sysco Corporation Signing On Behalf of the Other Sysco Parties. The Agreement contemplates that an officer of Sysco Corporation will execute the agreement on behalf of the other Sysco Parties.  The Agreement contains a representation that Sysco Corporation has all of the necessary authorizations and powers to do so.</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 xml:space="preserve">Payments. Sysco Corporation is responsible for all payment obligations under the Agreement. In the event the credit rating for long-term senior unsecured debt unsupported by third party credit enhancements issued by either Standard and Poor's Rating Services or Moody's Investor Service falls below "BBB-" or "Baa3", respectively, EESI may request Sysco deliver a Letter of Credit in an amount equal to the Early Termination Payment plus an amount equal to the price to be paid by Sysco under the Agreement (including Taxes, Distribution and Related Charges, and Special Utility Charges) for a period of three months.   </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 xml:space="preserve">Joint and Several Liability.  Sysco Corporation is liable for the payment and performance of the duties, obligations and liabilities of the other Sysco Parties.  </w:t>
      </w:r>
    </w:p>
    <w:p>
      <w:pPr>
        <w:pStyle w:val="Normal"/>
        <w:spacing w:lineRule="atLeast" w:line="240"/>
        <w:ind w:start="360" w:end="0"/>
        <w:rPr>
          <w:color w:val="000000"/>
          <w:sz w:val="24"/>
          <w:lang w:eastAsia="en-US"/>
        </w:rPr>
      </w:pPr>
      <w:r>
        <w:rPr>
          <w:color w:val="000000"/>
          <w:sz w:val="24"/>
          <w:lang w:eastAsia="en-US"/>
        </w:rPr>
        <w:tab/>
      </w:r>
    </w:p>
    <w:p>
      <w:pPr>
        <w:pStyle w:val="Normal"/>
        <w:spacing w:lineRule="atLeast" w:line="240"/>
        <w:ind w:start="360" w:end="0"/>
        <w:rPr>
          <w:color w:val="000000"/>
          <w:sz w:val="24"/>
          <w:lang w:eastAsia="en-US"/>
        </w:rPr>
      </w:pPr>
      <w:r>
        <w:rPr>
          <w:color w:val="000000"/>
          <w:sz w:val="24"/>
          <w:lang w:eastAsia="en-US"/>
        </w:rPr>
        <w:t>Tariff Risk Allocation. The price charged to Sysco is a generation only fixed price with a pass through to Sysco of all “Distribution and Related Charges.”  “Distribution and Related Charges” is defined in the Agreement to include (i) typical T&amp;D charges, (ii) installed capacity charges administered by an ISO or other relevant party whether attributable to generation, transmission or distribution; (iii) utility surcharges, including any rate recovery or emergency procurement surcharges imposed or authorized by the California legislature or PUC, whether styled as a charge related to energy distribution or otherwise, that is not part of EESI's cost of acquiring energy and (iv) Transition Charges. Transition Charges include charges on account of "stranded costs" or "transition costs" and any other similar charges, associated with or resulting from the opening of the applicable state's electric market (but EESI is separately entitled to retain any credits relating to Transition Charges).  The Agreement also provides EESI with the ability, at its sole discretion, to serve directly all or part of Sysco's energy requirements or to cause the applicable utility to serve Sysco's energy requirements.  This switching right enables EESI to access favorable utility bundled service rate structures or avoid unfavorable changes in utility bundled service rate structures.</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 xml:space="preserve">Termination Resulting from Changes in Law. This provision, which permits the parties to terminate the agreement under certain specified circumstances due to a change in law, is mutual.  Moreover, EESI is permitted to terminate the Agreement if a change in law results in a Tax which EESI is prevented by law from passing-on or otherwise recovering (i.e., a Windfall Profits Tax). If the non-Terminating Party suffers a net Loss as a result of such termination, the Terminating Party shall pay the amount of the Loss to the Non-Terminating Party, and if the Non-Terminating Party experiences a net Gain as a result of such termination, the Non-Terminating Party shall pay the amount of the Gain to the Terminating Party.  EESI may terminate the agreement in the event a change in law could subject it to regulation as a  utility company under the Public Utility Holding Company Act of 1935 or  Federal Power Act, or might subject it to the regulation of the California Public Utilities Commission.  In such an event the calculation and payment obligations relating to Gains and Losses would apply.  </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 xml:space="preserve">[Removal of a Facility; Substituting Facilities.  Sysco has the right under the Agreement to close a facility and pay a termination payment. If the calculation of the termination payment reflects a net Loss to EESI, Sysco Corporation shall pay the amount of the Loss to EESI and if the amount is a net Gain to EESI, EESI pays the net Gain to Sysco.  Alternatively, Sysco may elect to substitute for a period not exceeding twenty-four months--to be revised in AM consistent with new contract language] </w:t>
      </w:r>
    </w:p>
    <w:p>
      <w:pPr>
        <w:pStyle w:val="Normal"/>
        <w:spacing w:lineRule="atLeast" w:line="240"/>
        <w:rPr>
          <w:color w:val="000000"/>
          <w:sz w:val="24"/>
          <w:lang w:eastAsia="en-US"/>
        </w:rPr>
      </w:pPr>
      <w:r>
        <w:rPr>
          <w:color w:val="000000"/>
          <w:sz w:val="24"/>
          <w:lang w:eastAsia="en-US"/>
        </w:rPr>
        <w:t xml:space="preserve">  </w:t>
      </w:r>
    </w:p>
    <w:p>
      <w:pPr>
        <w:pStyle w:val="Normal"/>
        <w:spacing w:lineRule="atLeast" w:line="240"/>
        <w:ind w:start="360" w:end="0"/>
        <w:rPr>
          <w:color w:val="000000"/>
          <w:sz w:val="24"/>
          <w:lang w:eastAsia="en-US"/>
        </w:rPr>
      </w:pPr>
      <w:r>
        <w:rPr>
          <w:color w:val="000000"/>
          <w:sz w:val="24"/>
          <w:lang w:eastAsia="en-US"/>
        </w:rPr>
        <w:t xml:space="preserve">Sysco Representations.  The Agreement contemplates that all Sysco Parties would have full power and authority in providing power to their respective facilities and the agreement contemplated a representation to this effect.  However, the Sysco Parties may not be able to make this representation and instead agreed, in lieu of the representation, [to treat any such inability to take energy contracted for under the Agreement as a closed facility/substituted facility--to be revised in AM consistent with new contract language]  </w:t>
      </w:r>
    </w:p>
    <w:p>
      <w:pPr>
        <w:pStyle w:val="Normal"/>
        <w:spacing w:lineRule="atLeast" w:line="240"/>
        <w:rPr>
          <w:color w:val="000000"/>
          <w:sz w:val="24"/>
          <w:lang w:eastAsia="en-US"/>
        </w:rPr>
      </w:pPr>
      <w:r>
        <w:rPr>
          <w:color w:val="000000"/>
          <w:sz w:val="24"/>
          <w:lang w:eastAsia="en-US"/>
        </w:rPr>
        <w:t xml:space="preserve"> </w:t>
      </w:r>
    </w:p>
    <w:p>
      <w:pPr>
        <w:pStyle w:val="Normal"/>
        <w:spacing w:lineRule="atLeast" w:line="240"/>
        <w:ind w:start="360" w:end="0"/>
        <w:rPr>
          <w:color w:val="000000"/>
          <w:sz w:val="24"/>
          <w:lang w:eastAsia="en-US"/>
        </w:rPr>
      </w:pPr>
      <w:r>
        <w:rPr>
          <w:color w:val="000000"/>
          <w:sz w:val="24"/>
          <w:lang w:eastAsia="en-US"/>
        </w:rPr>
        <w:t>Events of Default. The definition of Event of Default specifies periods required for various circumstances to mature into an "Event of Default" (i.e., 5 days for non-payment, 15 days for other material breaches, and immediately for a Party's bankruptcy).</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Assignment.  In general, the parties may not assign the agreement without the consent of the other party.  However, in those instances when the parties may assign the agreement without the consent of the other party, the assigning party remains liable under the Agreement.</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Dispute Resolution.    Any and all claims, disputes or controversies relating to the Agreement (including disputes over the calculation of cover damages) are to be resolved exclusively</w:t>
      </w:r>
    </w:p>
    <w:p>
      <w:pPr>
        <w:pStyle w:val="Normal"/>
        <w:rPr>
          <w:color w:val="000000"/>
          <w:sz w:val="24"/>
          <w:lang w:eastAsia="en-US"/>
        </w:rPr>
      </w:pPr>
      <w:r>
        <w:rPr>
          <w:color w:val="000000"/>
          <w:sz w:val="24"/>
          <w:lang w:eastAsia="en-US"/>
        </w:rPr>
        <w:t>through binding arbitration.  However, prior to submitting a claim to arbitration, the parties are required to make a good faith attempt to resolve the claim for a period of thirty days.</w:t>
      </w:r>
    </w:p>
    <w:p>
      <w:pPr>
        <w:pStyle w:val="Normal"/>
        <w:rPr>
          <w:color w:val="000000"/>
          <w:sz w:val="24"/>
          <w:lang w:eastAsia="en-US"/>
        </w:rPr>
      </w:pPr>
      <w:r>
        <w:rPr>
          <w:color w:val="000000"/>
          <w:sz w:val="24"/>
          <w:lang w:eastAsia="en-US"/>
        </w:rPr>
      </w:r>
    </w:p>
    <w:p>
      <w:pPr>
        <w:pStyle w:val="BodyTextIndent"/>
        <w:rPr/>
      </w:pPr>
      <w:r>
        <w:rPr/>
        <w:t>Delivery Points.  The contract specifies a delivery point for each Facility in the event EESI chooses to provide physical service (SP 15 or NP 15 as applicable).  This is a departure from our standard form which allows EESI to choose any available delivery point.  The pricing for the deal was determined based upon these delivery points.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8"/>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color w:val="000000"/>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2001-05-22T12:11:00Z</dcterms:created>
  <dc:creator>msmith2</dc:creator>
  <dc:description/>
  <dc:language>en-CA</dc:language>
  <cp:lastModifiedBy>jbaxter2</cp:lastModifiedBy>
  <dcterms:modified xsi:type="dcterms:W3CDTF">2001-05-22T12:11:00Z</dcterms:modified>
  <cp:revision>3</cp:revision>
  <dc:subject/>
  <dc:title>Enron Energy Services, Inc</dc:title>
</cp:coreProperties>
</file>