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rPr/>
      </w:pPr>
      <w:r>
        <w:rPr/>
      </w:r>
    </w:p>
    <w:tbl>
      <w:tblPr>
        <w:tblW w:w="8838" w:type="dxa"/>
        <w:jc w:val="start"/>
        <w:tblInd w:w="0" w:type="dxa"/>
        <w:tblLayout w:type="fixed"/>
        <w:tblCellMar>
          <w:top w:w="0" w:type="dxa"/>
          <w:start w:w="108" w:type="dxa"/>
          <w:bottom w:w="0" w:type="dxa"/>
          <w:end w:w="108" w:type="dxa"/>
        </w:tblCellMar>
      </w:tblPr>
      <w:tblGrid>
        <w:gridCol w:w="2430"/>
        <w:gridCol w:w="2430"/>
        <w:gridCol w:w="3978"/>
      </w:tblGrid>
      <w:tr>
        <w:trPr/>
        <w:tc>
          <w:tcPr>
            <w:tcW w:w="2430" w:type="dxa"/>
            <w:tcBorders/>
          </w:tcPr>
          <w:p>
            <w:pPr>
              <w:pStyle w:val="Footer"/>
              <w:tabs>
                <w:tab w:val="clear" w:pos="4320"/>
                <w:tab w:val="clear" w:pos="8640"/>
              </w:tabs>
              <w:spacing w:before="20" w:after="0"/>
              <w:rPr>
                <w:sz w:val="24"/>
              </w:rPr>
            </w:pPr>
            <w:r>
              <w:rPr>
                <w:sz w:val="24"/>
              </w:rPr>
              <w:drawing>
                <wp:inline distT="0" distB="0" distL="0" distR="0">
                  <wp:extent cx="1106170" cy="11017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06170" cy="1101725"/>
                          </a:xfrm>
                          <a:prstGeom prst="rect">
                            <a:avLst/>
                          </a:prstGeom>
                          <a:noFill/>
                        </pic:spPr>
                      </pic:pic>
                    </a:graphicData>
                  </a:graphic>
                </wp:inline>
              </w:drawing>
            </w:r>
          </w:p>
        </w:tc>
        <w:tc>
          <w:tcPr>
            <w:tcW w:w="2430" w:type="dxa"/>
            <w:tcBorders/>
          </w:tcPr>
          <w:p>
            <w:pPr>
              <w:pStyle w:val="Normal"/>
              <w:snapToGrid w:val="false"/>
              <w:rPr>
                <w:sz w:val="24"/>
              </w:rPr>
            </w:pPr>
            <w:r>
              <w:rPr>
                <w:sz w:val="24"/>
              </w:rPr>
            </w:r>
          </w:p>
          <w:p>
            <w:pPr>
              <w:pStyle w:val="Normal"/>
              <w:rPr>
                <w:sz w:val="24"/>
              </w:rPr>
            </w:pPr>
            <w:r>
              <w:rPr>
                <w:sz w:val="24"/>
              </w:rPr>
            </w:r>
          </w:p>
          <w:p>
            <w:pPr>
              <w:pStyle w:val="Normal"/>
              <w:rPr>
                <w:sz w:val="24"/>
              </w:rPr>
            </w:pPr>
            <w:r>
              <w:rPr>
                <w:i/>
                <w:sz w:val="24"/>
              </w:rPr>
              <w:t>ENRON NORTH AMERICA CORP. WORLDWIDE ENERGY SOLUTIONS</w:t>
            </w:r>
          </w:p>
        </w:tc>
        <w:tc>
          <w:tcPr>
            <w:tcW w:w="3978" w:type="dxa"/>
            <w:tcBorders/>
          </w:tcPr>
          <w:p>
            <w:pPr>
              <w:pStyle w:val="Normal"/>
              <w:snapToGrid w:val="false"/>
              <w:rPr>
                <w:sz w:val="24"/>
              </w:rPr>
            </w:pPr>
            <w:r>
              <w:rPr>
                <w:sz w:val="24"/>
              </w:rPr>
            </w:r>
          </w:p>
          <w:p>
            <w:pPr>
              <w:pStyle w:val="Normal"/>
              <w:rPr>
                <w:sz w:val="24"/>
              </w:rPr>
            </w:pPr>
            <w:r>
              <w:rPr>
                <w:sz w:val="24"/>
              </w:rPr>
            </w:r>
          </w:p>
          <w:p>
            <w:pPr>
              <w:pStyle w:val="Normal"/>
              <w:jc w:val="end"/>
              <w:rPr>
                <w:b/>
                <w:sz w:val="24"/>
              </w:rPr>
            </w:pPr>
            <w:r>
              <w:rPr>
                <w:b/>
                <w:sz w:val="24"/>
              </w:rPr>
            </w:r>
          </w:p>
          <w:p>
            <w:pPr>
              <w:pStyle w:val="Normal"/>
              <w:jc w:val="end"/>
              <w:rPr>
                <w:b/>
                <w:sz w:val="24"/>
              </w:rPr>
            </w:pPr>
            <w:r>
              <w:rPr>
                <w:b/>
                <w:sz w:val="24"/>
              </w:rPr>
            </w:r>
          </w:p>
          <w:p>
            <w:pPr>
              <w:pStyle w:val="Normal"/>
              <w:jc w:val="end"/>
              <w:rPr>
                <w:b/>
                <w:sz w:val="24"/>
              </w:rPr>
            </w:pPr>
            <w:r>
              <w:rPr>
                <w:b/>
                <w:sz w:val="24"/>
              </w:rPr>
              <w:t>CONFIDENTIAL</w:t>
            </w:r>
          </w:p>
          <w:p>
            <w:pPr>
              <w:pStyle w:val="Normal"/>
              <w:ind w:start="900" w:end="-666"/>
              <w:jc w:val="end"/>
              <w:rPr>
                <w:b/>
                <w:sz w:val="24"/>
              </w:rPr>
            </w:pPr>
            <w:r>
              <w:rPr>
                <w:b/>
                <w:sz w:val="24"/>
              </w:rPr>
            </w:r>
          </w:p>
          <w:p>
            <w:pPr>
              <w:pStyle w:val="Normal"/>
              <w:jc w:val="end"/>
              <w:rPr>
                <w:sz w:val="24"/>
              </w:rPr>
            </w:pPr>
            <w:r>
              <w:rPr>
                <w:sz w:val="24"/>
              </w:rPr>
            </w:r>
          </w:p>
        </w:tc>
      </w:tr>
    </w:tbl>
    <w:p>
      <w:pPr>
        <w:pStyle w:val="Normal"/>
        <w:tabs>
          <w:tab w:val="clear" w:pos="720"/>
          <w:tab w:val="left" w:pos="5580" w:leader="none"/>
        </w:tabs>
        <w:rPr>
          <w:b/>
          <w:sz w:val="24"/>
        </w:rPr>
      </w:pPr>
      <w:r>
        <w:rPr>
          <w:b/>
          <w:sz w:val="24"/>
        </w:rPr>
        <w:tab/>
        <w:t>INTEROFFICE</w:t>
      </w:r>
    </w:p>
    <w:p>
      <w:pPr>
        <w:pStyle w:val="Normal"/>
        <w:tabs>
          <w:tab w:val="clear" w:pos="720"/>
          <w:tab w:val="left" w:pos="5580" w:leader="none"/>
        </w:tabs>
        <w:rPr>
          <w:b/>
          <w:sz w:val="24"/>
        </w:rPr>
      </w:pPr>
      <w:r>
        <w:rPr>
          <w:b/>
          <w:sz w:val="24"/>
        </w:rPr>
        <w:tab/>
        <w:t>MEMORANDUM</w:t>
      </w:r>
    </w:p>
    <w:p>
      <w:pPr>
        <w:pStyle w:val="Normal"/>
        <w:tabs>
          <w:tab w:val="clear" w:pos="720"/>
          <w:tab w:val="left" w:pos="5580" w:leader="none"/>
        </w:tabs>
        <w:rPr>
          <w:b/>
          <w:sz w:val="24"/>
        </w:rPr>
      </w:pPr>
      <w:r>
        <w:rPr>
          <w:b/>
          <w:sz w:val="24"/>
        </w:rPr>
      </w:r>
    </w:p>
    <w:p>
      <w:pPr>
        <w:pStyle w:val="Normal"/>
        <w:tabs>
          <w:tab w:val="clear" w:pos="720"/>
          <w:tab w:val="left" w:pos="1530" w:leader="none"/>
          <w:tab w:val="left" w:pos="5580" w:leader="none"/>
        </w:tabs>
        <w:spacing w:before="120" w:after="240"/>
        <w:rPr/>
      </w:pPr>
      <w:r>
        <w:rPr>
          <w:b/>
          <w:sz w:val="24"/>
        </w:rPr>
        <w:t>TO:</w:t>
      </w:r>
      <w:r>
        <w:rPr>
          <w:sz w:val="24"/>
        </w:rPr>
        <w:tab/>
        <w:t>Mark Haedicke</w:t>
        <w:tab/>
      </w:r>
      <w:r>
        <w:rPr>
          <w:b/>
          <w:sz w:val="24"/>
        </w:rPr>
        <w:t>DATE:</w:t>
      </w:r>
      <w:r>
        <w:rPr>
          <w:sz w:val="24"/>
        </w:rPr>
        <w:tab/>
        <w:t>August 25, 2000</w:t>
      </w:r>
    </w:p>
    <w:p>
      <w:pPr>
        <w:pStyle w:val="Normal"/>
        <w:tabs>
          <w:tab w:val="left" w:pos="720" w:leader="none"/>
          <w:tab w:val="left" w:pos="1530" w:leader="none"/>
          <w:tab w:val="left" w:pos="5580" w:leader="none"/>
          <w:tab w:val="left" w:pos="6480" w:leader="none"/>
        </w:tabs>
        <w:spacing w:before="0" w:after="240"/>
        <w:rPr/>
      </w:pPr>
      <w:r>
        <w:rPr>
          <w:b/>
          <w:sz w:val="24"/>
        </w:rPr>
        <w:t>FROM:</w:t>
      </w:r>
      <w:r>
        <w:rPr>
          <w:sz w:val="24"/>
        </w:rPr>
        <w:tab/>
        <w:t>Shonnie Daniel</w:t>
        <w:tab/>
      </w:r>
      <w:r>
        <w:rPr>
          <w:b/>
          <w:sz w:val="24"/>
        </w:rPr>
        <w:t xml:space="preserve">DEPARTMENT:  </w:t>
      </w:r>
      <w:r>
        <w:rPr>
          <w:sz w:val="24"/>
        </w:rPr>
        <w:t>ENA</w:t>
      </w:r>
      <w:r>
        <w:rPr>
          <w:b/>
          <w:sz w:val="24"/>
        </w:rPr>
        <w:t xml:space="preserve"> </w:t>
      </w:r>
      <w:r>
        <w:rPr>
          <w:sz w:val="24"/>
        </w:rPr>
        <w:t>Legal</w:t>
      </w:r>
    </w:p>
    <w:p>
      <w:pPr>
        <w:pStyle w:val="Normal"/>
        <w:tabs>
          <w:tab w:val="left" w:pos="720" w:leader="none"/>
          <w:tab w:val="left" w:pos="1530" w:leader="none"/>
          <w:tab w:val="left" w:pos="5040" w:leader="none"/>
          <w:tab w:val="left" w:pos="6480" w:leader="none"/>
        </w:tabs>
        <w:rPr/>
      </w:pPr>
      <w:r>
        <w:rPr>
          <w:b/>
          <w:sz w:val="24"/>
        </w:rPr>
        <w:t>SUBJECT:</w:t>
      </w:r>
      <w:r>
        <w:rPr>
          <w:sz w:val="24"/>
        </w:rPr>
        <w:tab/>
        <w:t>Project 20/20</w:t>
      </w:r>
    </w:p>
    <w:p>
      <w:pPr>
        <w:pStyle w:val="Normal"/>
        <w:pBdr>
          <w:bottom w:val="single" w:sz="18" w:space="1" w:color="000000"/>
        </w:pBdr>
        <w:tabs>
          <w:tab w:val="left" w:pos="720" w:leader="none"/>
          <w:tab w:val="left" w:pos="1530" w:leader="none"/>
          <w:tab w:val="left" w:pos="5040" w:leader="none"/>
          <w:tab w:val="left" w:pos="6480" w:leader="none"/>
        </w:tabs>
        <w:rPr>
          <w:sz w:val="24"/>
        </w:rPr>
      </w:pPr>
      <w:r>
        <w:rPr>
          <w:sz w:val="24"/>
        </w:rPr>
      </w:r>
    </w:p>
    <w:p>
      <w:pPr>
        <w:pStyle w:val="Normal"/>
        <w:tabs>
          <w:tab w:val="left" w:pos="720" w:leader="none"/>
          <w:tab w:val="left" w:pos="1530" w:leader="none"/>
          <w:tab w:val="left" w:pos="5040" w:leader="none"/>
          <w:tab w:val="left" w:pos="6480" w:leader="none"/>
        </w:tabs>
        <w:jc w:val="both"/>
        <w:rPr>
          <w:sz w:val="24"/>
        </w:rPr>
      </w:pPr>
      <w:r>
        <w:rPr>
          <w:sz w:val="24"/>
        </w:rPr>
      </w:r>
    </w:p>
    <w:p>
      <w:pPr>
        <w:pStyle w:val="Normal"/>
        <w:tabs>
          <w:tab w:val="left" w:pos="720" w:leader="none"/>
          <w:tab w:val="left" w:pos="1530" w:leader="none"/>
          <w:tab w:val="left" w:pos="5040" w:leader="none"/>
          <w:tab w:val="left" w:pos="6480" w:leader="none"/>
        </w:tabs>
        <w:jc w:val="both"/>
        <w:rPr>
          <w:sz w:val="24"/>
        </w:rPr>
      </w:pPr>
      <w:r>
        <w:rPr>
          <w:sz w:val="24"/>
        </w:rPr>
        <w:tab/>
        <w:t xml:space="preserve">Enron North America ("ENA") is finalizing a proposed disposition of 100% of the membership interests in the following Delaware limited liability companies (the “Transferred Entities”) to Northern Border Intermediate Limited Partnership (“NBP”) for $204,000,000. </w:t>
      </w:r>
    </w:p>
    <w:p>
      <w:pPr>
        <w:pStyle w:val="Normal"/>
        <w:tabs>
          <w:tab w:val="left" w:pos="720" w:leader="none"/>
          <w:tab w:val="left" w:pos="1530" w:leader="none"/>
          <w:tab w:val="left" w:pos="5040" w:leader="none"/>
          <w:tab w:val="left" w:pos="6480" w:leader="none"/>
        </w:tabs>
        <w:jc w:val="both"/>
        <w:rPr>
          <w:sz w:val="24"/>
        </w:rPr>
      </w:pPr>
      <w:r>
        <w:rPr>
          <w:sz w:val="24"/>
        </w:rPr>
      </w:r>
    </w:p>
    <w:p>
      <w:pPr>
        <w:pStyle w:val="BodyText"/>
        <w:ind w:firstLine="360" w:start="612" w:end="0"/>
        <w:rPr/>
      </w:pPr>
      <w:r>
        <w:rPr/>
        <w:t xml:space="preserve">1.  </w:t>
      </w:r>
      <w:r>
        <w:rPr>
          <w:i/>
        </w:rPr>
        <w:t>ECT Wind</w:t>
      </w:r>
      <w:r>
        <w:rPr>
          <w:b/>
          <w:i/>
        </w:rPr>
        <w:t xml:space="preserve"> </w:t>
      </w:r>
      <w:r>
        <w:rPr>
          <w:i/>
        </w:rPr>
        <w:t>River, L.L.C.</w:t>
      </w:r>
      <w:r>
        <w:rPr/>
        <w:t xml:space="preserve"> - ECT Wind River, L.L.C. holds a 35% membership interest in Lost Creek Gas Gathering, L.L.C. (“Lost Creek”).  Lost Creek owns a 123 mile, 24-inch gas gathering header in the Wind River Basin in Wyoming which is scheduled to be in service by September 30, 2000 and a reserve account of $3,465,000 for anticipated capital contributions to Lost Creek in connection with the term conversion of the financing under the Lost Creek Credit Agreement.</w:t>
      </w:r>
    </w:p>
    <w:p>
      <w:pPr>
        <w:pStyle w:val="BodyText"/>
        <w:ind w:firstLine="360" w:start="612" w:end="0"/>
        <w:rPr/>
      </w:pPr>
      <w:r>
        <w:rPr/>
        <w:t xml:space="preserve">2.  </w:t>
      </w:r>
      <w:r>
        <w:rPr>
          <w:i/>
        </w:rPr>
        <w:t>ECT Powder River, L.L.C.</w:t>
      </w:r>
      <w:r>
        <w:rPr/>
        <w:t xml:space="preserve"> - ECT Powder River, L.L.C. holds a 33.33% membership interest in Fort Union Gas Gathering, L.L.C. (“Fort Union”).  Fort Union owns a 106 mile, 24-inch gas gathering header in the Powder River Basin in Wyoming which was placed into service on August 31, 1999.</w:t>
      </w:r>
    </w:p>
    <w:p>
      <w:pPr>
        <w:pStyle w:val="Normal"/>
        <w:spacing w:before="0" w:after="240"/>
        <w:ind w:firstLine="360" w:start="619" w:end="0"/>
        <w:jc w:val="both"/>
        <w:rPr/>
      </w:pPr>
      <w:r>
        <w:rPr>
          <w:sz w:val="24"/>
        </w:rPr>
        <w:t xml:space="preserve">3.  </w:t>
      </w:r>
      <w:r>
        <w:rPr>
          <w:i/>
          <w:sz w:val="24"/>
        </w:rPr>
        <w:t xml:space="preserve">Enron Midstream Services, L.L.C. </w:t>
      </w:r>
      <w:r>
        <w:rPr>
          <w:sz w:val="24"/>
        </w:rPr>
        <w:t xml:space="preserve">- Enron Midstream Services, L.L.C. (“EMS”) provides gas gathering services to producers on multiple lateral gas gathering lines that it owns, or has contracted for, and that are connected to the Fort Union pipeline.  Additionally, EMS holds ten percent (10%) of the common membership interests and twenty percent (20%) of the Preferred A Units in Bighorn Gas Gathering, L.L.C. (“Bighorn”) (Lost Creek, Fort Union and Bighorn are collectively referred to as the “Gathering Companies”).  Bighorn owns a gas gathering system in Campbell and Sheridan Counties, Wyoming. </w:t>
      </w:r>
    </w:p>
    <w:p>
      <w:pPr>
        <w:pStyle w:val="Normal"/>
        <w:tabs>
          <w:tab w:val="left" w:pos="720" w:leader="none"/>
          <w:tab w:val="left" w:pos="1530" w:leader="none"/>
          <w:tab w:val="left" w:pos="5040" w:leader="none"/>
          <w:tab w:val="left" w:pos="6480" w:leader="none"/>
        </w:tabs>
        <w:jc w:val="both"/>
        <w:rPr>
          <w:sz w:val="24"/>
        </w:rPr>
      </w:pPr>
      <w:r>
        <w:rPr>
          <w:sz w:val="24"/>
        </w:rPr>
        <w:t>Set forth below are certain risks associated with the proposed transaction:</w:t>
      </w:r>
    </w:p>
    <w:p>
      <w:pPr>
        <w:pStyle w:val="Normal"/>
        <w:spacing w:before="0" w:after="240"/>
        <w:ind w:firstLine="360" w:start="619" w:end="0"/>
        <w:jc w:val="both"/>
        <w:rPr>
          <w:sz w:val="24"/>
        </w:rPr>
      </w:pPr>
      <w:r>
        <w:rPr>
          <w:sz w:val="24"/>
        </w:rPr>
      </w:r>
    </w:p>
    <w:p>
      <w:pPr>
        <w:pStyle w:val="Normal"/>
        <w:tabs>
          <w:tab w:val="left" w:pos="720" w:leader="none"/>
          <w:tab w:val="left" w:pos="1530" w:leader="none"/>
          <w:tab w:val="left" w:pos="5040" w:leader="none"/>
          <w:tab w:val="left" w:pos="6480" w:leader="none"/>
        </w:tabs>
        <w:jc w:val="both"/>
        <w:rPr>
          <w:sz w:val="24"/>
        </w:rPr>
      </w:pPr>
      <w:r>
        <w:rPr>
          <w:sz w:val="24"/>
        </w:rPr>
      </w:r>
    </w:p>
    <w:p>
      <w:pPr>
        <w:pStyle w:val="Normal"/>
        <w:tabs>
          <w:tab w:val="left" w:pos="720" w:leader="none"/>
          <w:tab w:val="left" w:pos="1530" w:leader="none"/>
          <w:tab w:val="left" w:pos="5040" w:leader="none"/>
          <w:tab w:val="left" w:pos="6480" w:leader="none"/>
        </w:tabs>
        <w:jc w:val="both"/>
        <w:rPr/>
      </w:pPr>
      <w:r>
        <w:rPr>
          <w:rFonts w:eastAsia="Symbol" w:cs="Symbol" w:ascii="Symbol" w:hAnsi="Symbol"/>
          <w:sz w:val="24"/>
        </w:rPr>
        <w:sym w:font="Symbol" w:char="f0b7"/>
      </w:r>
      <w:r>
        <w:rPr>
          <w:sz w:val="24"/>
        </w:rPr>
        <w:t xml:space="preserve"> </w:t>
      </w:r>
      <w:r>
        <w:rPr>
          <w:sz w:val="24"/>
        </w:rPr>
        <w:t>A Hart-Scott-Rodino filing was made with regard to the EMS portion of this transaction on August 22, 2000.    Early termination of the waiting period was requested on August 24,2000.</w:t>
      </w:r>
    </w:p>
    <w:p>
      <w:pPr>
        <w:pStyle w:val="Normal"/>
        <w:tabs>
          <w:tab w:val="left" w:pos="720" w:leader="none"/>
          <w:tab w:val="left" w:pos="1530" w:leader="none"/>
          <w:tab w:val="left" w:pos="5040" w:leader="none"/>
          <w:tab w:val="left" w:pos="6480" w:leader="none"/>
        </w:tabs>
        <w:jc w:val="both"/>
        <w:rPr>
          <w:sz w:val="24"/>
        </w:rPr>
      </w:pPr>
      <w:r>
        <w:rPr>
          <w:sz w:val="24"/>
        </w:rPr>
      </w:r>
    </w:p>
    <w:p>
      <w:pPr>
        <w:pStyle w:val="Normal"/>
        <w:tabs>
          <w:tab w:val="left" w:pos="720" w:leader="none"/>
          <w:tab w:val="left" w:pos="1530" w:leader="none"/>
          <w:tab w:val="left" w:pos="5040" w:leader="none"/>
          <w:tab w:val="left" w:pos="6480" w:leader="none"/>
        </w:tabs>
        <w:jc w:val="both"/>
        <w:rPr/>
      </w:pPr>
      <w:r>
        <w:rPr>
          <w:rFonts w:eastAsia="Symbol" w:cs="Symbol" w:ascii="Symbol" w:hAnsi="Symbol"/>
          <w:sz w:val="24"/>
        </w:rPr>
        <w:sym w:font="Symbol" w:char="f0b7"/>
      </w:r>
      <w:r>
        <w:rPr>
          <w:sz w:val="24"/>
        </w:rPr>
        <w:t xml:space="preserve"> </w:t>
      </w:r>
      <w:r>
        <w:rPr>
          <w:sz w:val="24"/>
        </w:rPr>
        <w:t>The transaction includes certain preferential rights within a “Specified Geographical Area” that includes the eastern two-thirds of the State of Wyoming and the south-eastern quarter of the State of Montata for five years after the closing date of the transaction as follows:</w:t>
      </w:r>
    </w:p>
    <w:p>
      <w:pPr>
        <w:pStyle w:val="Normal"/>
        <w:tabs>
          <w:tab w:val="left" w:pos="720" w:leader="none"/>
          <w:tab w:val="left" w:pos="1530" w:leader="none"/>
          <w:tab w:val="left" w:pos="5040" w:leader="none"/>
          <w:tab w:val="left" w:pos="6480" w:leader="none"/>
        </w:tabs>
        <w:jc w:val="both"/>
        <w:rPr>
          <w:sz w:val="24"/>
        </w:rPr>
      </w:pPr>
      <w:r>
        <w:rPr>
          <w:sz w:val="24"/>
        </w:rPr>
      </w:r>
    </w:p>
    <w:p>
      <w:pPr>
        <w:pStyle w:val="BodyTextIndent"/>
        <w:rPr/>
      </w:pPr>
      <w:r>
        <w:rPr/>
        <w:t xml:space="preserve">If ENA or any of its wholly-owned subsidiaries  proposes to develop or acquire an interest in, directly or indirectly, a natural gas processing plant, natural gas gathering system, transportation pipeline, or gas transmission system all or part of which is located in the Specified Geographical Area, other than (i) sales or distribution pipelines or systems connecting to local distribution companies or end users and (ii) any gas transportation pipeline or gas transmission system in the I-80 Corridor (each a “Specified Project”), ENA must offer NBP the  preferential right to participate with ENA for 100% of the asset based equity portion of the Specified Project. A Specified Project developed by ENA as part of a transaction that is primarily a producer finance transaction is excluded from this provision. </w:t>
      </w:r>
    </w:p>
    <w:p>
      <w:pPr>
        <w:pStyle w:val="Normal"/>
        <w:spacing w:before="0" w:after="240"/>
        <w:ind w:firstLine="720" w:start="720" w:end="0"/>
        <w:jc w:val="both"/>
        <w:rPr>
          <w:sz w:val="24"/>
        </w:rPr>
      </w:pPr>
      <w:r>
        <w:rPr>
          <w:sz w:val="24"/>
        </w:rPr>
        <w:t>If NBP or Northern Border Partners, L.P. or any of its subsidiaries proposes to develop or participate in, directly or indirectly, a Specified Project, then NBP must offer ENA the preferential right to participate for 100% of the gas or other energy linked commodity transactions and producer outsourcing opportunities related to the Specified Project, including access to gathering or transportation services on the Specified Project.</w:t>
      </w:r>
    </w:p>
    <w:p>
      <w:pPr>
        <w:pStyle w:val="Normal"/>
        <w:numPr>
          <w:ilvl w:val="0"/>
          <w:numId w:val="2"/>
        </w:numPr>
        <w:tabs>
          <w:tab w:val="left" w:pos="720" w:leader="none"/>
          <w:tab w:val="left" w:pos="1530" w:leader="none"/>
          <w:tab w:val="left" w:pos="5040" w:leader="none"/>
          <w:tab w:val="left" w:pos="6480" w:leader="none"/>
        </w:tabs>
        <w:jc w:val="both"/>
        <w:rPr>
          <w:sz w:val="24"/>
        </w:rPr>
      </w:pPr>
      <w:r>
        <w:rPr>
          <w:sz w:val="24"/>
        </w:rPr>
        <w:t>ENA is making various representations and warranties with related indemnification obligations regarding the Transferred Companies and the Gathering Companies.  All representations and warranties are qualified by materiality.  Representations and warranties for the Gathering Companies are additionally limited to knowledge.  ENA is expressly disclaiming any representation or warranty as to the jurisdictional status (as relating to Federal Energy Regulatory Commission jurisdiction) of the assets of the Gathering Companies.  There is a $2,000,000 basket and indemnification obligations are limited for each of the Transferred Companies to that portion of the purchase price allocated to such company.  The indemnification obligations survive for two years from the closing date of the transaction.</w:t>
      </w:r>
    </w:p>
    <w:p>
      <w:pPr>
        <w:pStyle w:val="Normal"/>
        <w:tabs>
          <w:tab w:val="left" w:pos="720" w:leader="none"/>
          <w:tab w:val="left" w:pos="1530" w:leader="none"/>
          <w:tab w:val="left" w:pos="5040" w:leader="none"/>
          <w:tab w:val="left" w:pos="6480" w:leader="none"/>
        </w:tabs>
        <w:jc w:val="both"/>
        <w:rPr>
          <w:sz w:val="24"/>
        </w:rPr>
      </w:pPr>
      <w:r>
        <w:rPr>
          <w:sz w:val="24"/>
        </w:rPr>
      </w:r>
    </w:p>
    <w:p>
      <w:pPr>
        <w:pStyle w:val="Normal"/>
        <w:numPr>
          <w:ilvl w:val="0"/>
          <w:numId w:val="2"/>
        </w:numPr>
        <w:tabs>
          <w:tab w:val="left" w:pos="720" w:leader="none"/>
          <w:tab w:val="left" w:pos="1530" w:leader="none"/>
          <w:tab w:val="left" w:pos="5040" w:leader="none"/>
          <w:tab w:val="left" w:pos="6480" w:leader="none"/>
        </w:tabs>
        <w:jc w:val="both"/>
        <w:rPr>
          <w:sz w:val="24"/>
        </w:rPr>
      </w:pPr>
      <w:r>
        <w:rPr>
          <w:sz w:val="24"/>
        </w:rPr>
        <w:t xml:space="preserve">In Connection with the construction of the Lost Creek gathering system a number of issues were addressed with the Bureau of Land Management relating to the Environmental Impact Study on the routing of the gathering system at the crossing of the Oregon Trail.  The route ultimately selected crossed the Oregon Trail at the site of a uranium tailings mill in the process of remediation.  The Nuclear Regulatory Commission consented to this crossing. The construction of the gathering system through this site was without incident. In connection with the project finance of the gathering system, Lost Creek purchased environmental liability insurance of $15,000,000 to cover any potential liability related to location at this site.  The environmental representation and warranty being made by ENA has been investigated with the officers and project managers and all responses have been favorable.  </w:t>
      </w:r>
    </w:p>
    <w:p>
      <w:pPr>
        <w:pStyle w:val="Normal"/>
        <w:tabs>
          <w:tab w:val="left" w:pos="720" w:leader="none"/>
          <w:tab w:val="left" w:pos="1530" w:leader="none"/>
          <w:tab w:val="left" w:pos="5040" w:leader="none"/>
          <w:tab w:val="left" w:pos="6480" w:leader="none"/>
        </w:tabs>
        <w:jc w:val="both"/>
        <w:rPr>
          <w:sz w:val="24"/>
        </w:rPr>
      </w:pPr>
      <w:r>
        <w:rPr>
          <w:sz w:val="24"/>
        </w:rPr>
      </w:r>
    </w:p>
    <w:p>
      <w:pPr>
        <w:pStyle w:val="Normal"/>
        <w:numPr>
          <w:ilvl w:val="0"/>
          <w:numId w:val="2"/>
        </w:numPr>
        <w:tabs>
          <w:tab w:val="left" w:pos="720" w:leader="none"/>
          <w:tab w:val="left" w:pos="1530" w:leader="none"/>
          <w:tab w:val="left" w:pos="5040" w:leader="none"/>
          <w:tab w:val="left" w:pos="6480" w:leader="none"/>
        </w:tabs>
        <w:jc w:val="both"/>
        <w:rPr>
          <w:sz w:val="24"/>
        </w:rPr>
      </w:pPr>
      <w:r>
        <w:rPr>
          <w:sz w:val="24"/>
        </w:rPr>
        <w:t>Because of the affiliated nature of this transaction, NBP must receive the special approval of its audit committee.  The audit committee hired GulfStar Group, Inc. to perform a fairness evaluation and on August 21, 2000, Gulfstar issued a favorable fairness evaluation.  The audit committee additionaly has retained its own legal counsel, Haynes and Boone to assist in the fairness evaluation.</w:t>
      </w:r>
    </w:p>
    <w:p>
      <w:pPr>
        <w:pStyle w:val="Normal"/>
        <w:tabs>
          <w:tab w:val="left" w:pos="720" w:leader="none"/>
          <w:tab w:val="left" w:pos="1530" w:leader="none"/>
          <w:tab w:val="left" w:pos="5040" w:leader="none"/>
          <w:tab w:val="left" w:pos="6480" w:leader="none"/>
        </w:tabs>
        <w:jc w:val="both"/>
        <w:rPr>
          <w:sz w:val="24"/>
        </w:rPr>
      </w:pPr>
      <w:r>
        <w:rPr>
          <w:sz w:val="24"/>
        </w:rPr>
      </w:r>
    </w:p>
    <w:p>
      <w:pPr>
        <w:pStyle w:val="Normal"/>
        <w:numPr>
          <w:ilvl w:val="0"/>
          <w:numId w:val="4"/>
        </w:numPr>
        <w:tabs>
          <w:tab w:val="left" w:pos="720" w:leader="none"/>
          <w:tab w:val="left" w:pos="1530" w:leader="none"/>
          <w:tab w:val="left" w:pos="5040" w:leader="none"/>
          <w:tab w:val="left" w:pos="6480" w:leader="none"/>
        </w:tabs>
        <w:jc w:val="both"/>
        <w:rPr>
          <w:sz w:val="24"/>
        </w:rPr>
      </w:pPr>
      <w:r>
        <w:rPr>
          <w:sz w:val="24"/>
        </w:rPr>
        <w:t xml:space="preserve">The Lost Creek and Fort Union Limited Liability Company operating agreements contain preferential rights by the other members to the purchase of any membership interest being sold.  The operating agreements do not contain a change of control provision.  This transaction has been structured as a sale of the entity owning the membership interest, not a sale of the membership interest.   </w:t>
      </w:r>
    </w:p>
    <w:p>
      <w:pPr>
        <w:pStyle w:val="Normal"/>
        <w:tabs>
          <w:tab w:val="left" w:pos="720" w:leader="none"/>
          <w:tab w:val="left" w:pos="1530" w:leader="none"/>
          <w:tab w:val="left" w:pos="5040" w:leader="none"/>
          <w:tab w:val="left" w:pos="6480" w:leader="none"/>
        </w:tabs>
        <w:jc w:val="both"/>
        <w:rPr>
          <w:sz w:val="24"/>
        </w:rPr>
      </w:pPr>
      <w:r>
        <w:rPr>
          <w:sz w:val="24"/>
        </w:rPr>
      </w:r>
    </w:p>
    <w:p>
      <w:pPr>
        <w:pStyle w:val="Normal"/>
        <w:numPr>
          <w:ilvl w:val="0"/>
          <w:numId w:val="4"/>
        </w:numPr>
        <w:tabs>
          <w:tab w:val="left" w:pos="720" w:leader="none"/>
          <w:tab w:val="left" w:pos="1530" w:leader="none"/>
          <w:tab w:val="left" w:pos="5040" w:leader="none"/>
          <w:tab w:val="left" w:pos="6480" w:leader="none"/>
        </w:tabs>
        <w:jc w:val="both"/>
        <w:rPr>
          <w:sz w:val="24"/>
        </w:rPr>
      </w:pPr>
      <w:r>
        <w:rPr>
          <w:sz w:val="24"/>
        </w:rPr>
        <w:t>It is contemplated that a number of ENA employees currently managing, operating and working commercial origination activities on or related to the Transferred Companies will be transferred to a Northern Plains Natural Gas Company subsidiary and will continue to manage the Transferred Companies. Offers of employment have been made to these employees.</w:t>
      </w:r>
    </w:p>
    <w:p>
      <w:pPr>
        <w:pStyle w:val="Normal"/>
        <w:tabs>
          <w:tab w:val="left" w:pos="720" w:leader="none"/>
          <w:tab w:val="left" w:pos="1530" w:leader="none"/>
          <w:tab w:val="left" w:pos="5040" w:leader="none"/>
          <w:tab w:val="left" w:pos="6480" w:leader="none"/>
        </w:tabs>
        <w:jc w:val="both"/>
        <w:rPr>
          <w:sz w:val="24"/>
        </w:rPr>
      </w:pPr>
      <w:r>
        <w:rPr>
          <w:sz w:val="24"/>
        </w:rPr>
      </w:r>
    </w:p>
    <w:p>
      <w:pPr>
        <w:pStyle w:val="Normal"/>
        <w:numPr>
          <w:ilvl w:val="0"/>
          <w:numId w:val="3"/>
        </w:numPr>
        <w:tabs>
          <w:tab w:val="left" w:pos="720" w:leader="none"/>
          <w:tab w:val="left" w:pos="1530" w:leader="none"/>
          <w:tab w:val="left" w:pos="5040" w:leader="none"/>
          <w:tab w:val="left" w:pos="6480" w:leader="none"/>
        </w:tabs>
        <w:jc w:val="both"/>
        <w:rPr>
          <w:sz w:val="24"/>
        </w:rPr>
      </w:pPr>
      <w:r>
        <w:rPr>
          <w:sz w:val="24"/>
        </w:rPr>
        <w:t>We have analyzed and addressed a number of legal issues, including, without limitation, issues involving the Hart-Scott-Rodino Antitrust Improvements Act, various other regulatory issues and required third-party consents.</w:t>
      </w:r>
      <w:r>
        <w:br w:type="page"/>
      </w:r>
    </w:p>
    <w:p>
      <w:pPr>
        <w:pStyle w:val="Normal"/>
        <w:tabs>
          <w:tab w:val="left" w:pos="720" w:leader="none"/>
          <w:tab w:val="left" w:pos="1530" w:leader="none"/>
          <w:tab w:val="left" w:pos="3600" w:leader="none"/>
          <w:tab w:val="left" w:pos="3960" w:leader="none"/>
          <w:tab w:val="left" w:pos="5040" w:leader="none"/>
          <w:tab w:val="left" w:pos="6480" w:leader="none"/>
        </w:tabs>
        <w:jc w:val="both"/>
        <w:rPr>
          <w:sz w:val="24"/>
        </w:rPr>
      </w:pPr>
      <w:r>
        <w:rPr>
          <w:sz w:val="24"/>
        </w:rPr>
        <w:t>cc:</w:t>
        <w:tab/>
        <w:t>Dave Delainey</w:t>
        <w:tab/>
        <w:t>EB 3319</w:t>
      </w:r>
    </w:p>
    <w:p>
      <w:pPr>
        <w:pStyle w:val="Normal"/>
        <w:tabs>
          <w:tab w:val="left" w:pos="720" w:leader="none"/>
          <w:tab w:val="left" w:pos="3600" w:leader="none"/>
          <w:tab w:val="left" w:pos="6480" w:leader="none"/>
        </w:tabs>
        <w:jc w:val="both"/>
        <w:rPr>
          <w:sz w:val="24"/>
        </w:rPr>
      </w:pPr>
      <w:r>
        <w:rPr>
          <w:sz w:val="24"/>
        </w:rPr>
        <w:tab/>
        <w:t>Brian Bierbach</w:t>
        <w:tab/>
        <w:t>EB 3543A</w:t>
      </w:r>
    </w:p>
    <w:p>
      <w:pPr>
        <w:pStyle w:val="Normal"/>
        <w:tabs>
          <w:tab w:val="left" w:pos="720" w:leader="none"/>
          <w:tab w:val="left" w:pos="3600" w:leader="none"/>
          <w:tab w:val="left" w:pos="6480" w:leader="none"/>
        </w:tabs>
        <w:jc w:val="both"/>
        <w:rPr>
          <w:sz w:val="24"/>
        </w:rPr>
      </w:pPr>
      <w:r>
        <w:rPr>
          <w:sz w:val="24"/>
        </w:rPr>
        <w:tab/>
        <w:t>Tim Detmering</w:t>
        <w:tab/>
        <w:t>EB 3329</w:t>
      </w:r>
    </w:p>
    <w:p>
      <w:pPr>
        <w:pStyle w:val="Normal"/>
        <w:tabs>
          <w:tab w:val="left" w:pos="720" w:leader="none"/>
          <w:tab w:val="left" w:pos="3600" w:leader="none"/>
          <w:tab w:val="left" w:pos="6480" w:leader="none"/>
        </w:tabs>
        <w:jc w:val="both"/>
        <w:rPr>
          <w:sz w:val="24"/>
        </w:rPr>
      </w:pPr>
      <w:r>
        <w:rPr>
          <w:sz w:val="24"/>
        </w:rPr>
        <w:tab/>
        <w:t>Jeff Donahue</w:t>
        <w:tab/>
        <w:t>EB 3228</w:t>
      </w:r>
    </w:p>
    <w:p>
      <w:pPr>
        <w:pStyle w:val="Normal"/>
        <w:tabs>
          <w:tab w:val="left" w:pos="720" w:leader="none"/>
          <w:tab w:val="left" w:pos="3600" w:leader="none"/>
          <w:tab w:val="left" w:pos="6480" w:leader="none"/>
        </w:tabs>
        <w:jc w:val="both"/>
        <w:rPr>
          <w:sz w:val="24"/>
        </w:rPr>
      </w:pPr>
      <w:r>
        <w:rPr>
          <w:sz w:val="24"/>
        </w:rPr>
        <w:tab/>
        <w:t>Julia Murray</w:t>
        <w:tab/>
        <w:t>EB 3835</w:t>
      </w:r>
    </w:p>
    <w:p>
      <w:pPr>
        <w:pStyle w:val="Normal"/>
        <w:tabs>
          <w:tab w:val="left" w:pos="720" w:leader="none"/>
          <w:tab w:val="left" w:pos="3600" w:leader="none"/>
          <w:tab w:val="left" w:pos="6480" w:leader="none"/>
        </w:tabs>
        <w:jc w:val="both"/>
        <w:rPr>
          <w:sz w:val="24"/>
        </w:rPr>
      </w:pPr>
      <w:r>
        <w:rPr>
          <w:sz w:val="24"/>
        </w:rPr>
        <w:tab/>
        <w:t>Brian Redmond</w:t>
        <w:tab/>
        <w:t>EB 3566</w:t>
      </w:r>
    </w:p>
    <w:p>
      <w:pPr>
        <w:pStyle w:val="Normal"/>
        <w:tabs>
          <w:tab w:val="left" w:pos="720" w:leader="none"/>
          <w:tab w:val="left" w:pos="3600" w:leader="none"/>
          <w:tab w:val="left" w:pos="6480" w:leader="none"/>
        </w:tabs>
        <w:jc w:val="both"/>
        <w:rPr>
          <w:sz w:val="24"/>
        </w:rPr>
      </w:pPr>
      <w:r>
        <w:rPr>
          <w:sz w:val="24"/>
        </w:rPr>
      </w:r>
    </w:p>
    <w:sectPr>
      <w:footerReference w:type="default" r:id="rId3"/>
      <w:footerReference w:type="first" r:id="rId4"/>
      <w:type w:val="nextPage"/>
      <w:pgSz w:w="12240" w:h="15840"/>
      <w:pgMar w:left="1440" w:right="1440" w:gutter="0" w:header="0" w:top="1152"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240"/>
      <w:rPr>
        <w:sz w:val="14"/>
      </w:rPr>
    </w:pPr>
    <w:r>
      <w:rPr>
        <w:sz w:val="14"/>
      </w:rPr>
      <w:fldChar w:fldCharType="begin"/>
    </w:r>
    <w:r>
      <w:rPr>
        <w:sz w:val="14"/>
      </w:rPr>
      <w:instrText xml:space="preserve"> FILENAME \p </w:instrText>
    </w:r>
    <w:r>
      <w:rPr>
        <w:sz w:val="14"/>
      </w:rPr>
      <w:fldChar w:fldCharType="separate"/>
    </w:r>
    <w:r>
      <w:rPr>
        <w:sz w:val="14"/>
      </w:rPr>
      <w:t>/mnt/main-storage/datasets/enron-docs/doc/Risk_Memo-9a31d8f68d48530465d1587c8cf642f9816abd63e30e93887b16d567c642596d.doc</w:t>
    </w:r>
    <w:r>
      <w:rPr>
        <w:sz w:val="14"/>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2550" cy="189230"/>
              <wp:effectExtent l="0" t="0" r="0" b="0"/>
              <wp:wrapSquare wrapText="bothSides"/>
              <wp:docPr id="2"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/mnt/main-storage/datasets/enron-docs/doc/Risk_Memo-9a31d8f68d48530465d1587c8cf642f9816abd63e30e93887b16d567c642596d.doc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BodyText"/>
    <w:qFormat/>
    <w:pPr>
      <w:numPr>
        <w:ilvl w:val="2"/>
        <w:numId w:val="1"/>
      </w:numPr>
      <w:spacing w:before="0" w:after="120"/>
      <w:ind w:hanging="0" w:start="1440" w:end="1440"/>
      <w:jc w:val="both"/>
      <w:outlineLvl w:val="2"/>
    </w:pPr>
    <w:rPr>
      <w:sz w:val="26"/>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z w:val="26"/>
    </w:rPr>
  </w:style>
  <w:style w:type="paragraph" w:styleId="Heading7">
    <w:name w:val="heading 7"/>
    <w:basedOn w:val="Normal"/>
    <w:next w:val="BodyText"/>
    <w:qFormat/>
    <w:pPr>
      <w:numPr>
        <w:ilvl w:val="6"/>
        <w:numId w:val="1"/>
      </w:numPr>
      <w:spacing w:before="0" w:after="120"/>
      <w:ind w:hanging="720" w:start="2880" w:end="720"/>
      <w:jc w:val="both"/>
      <w:outlineLvl w:val="6"/>
    </w:pPr>
    <w:rPr>
      <w:sz w:val="26"/>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z w:val="26"/>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z w:val="26"/>
    </w:rPr>
  </w:style>
  <w:style w:type="paragraph" w:styleId="TOC1">
    <w:name w:val="toc 1"/>
    <w:basedOn w:val="Normal"/>
    <w:next w:val="Normal"/>
    <w:pPr>
      <w:keepNext w:val="true"/>
      <w:tabs>
        <w:tab w:val="left" w:pos="720" w:leader="none"/>
        <w:tab w:val="left" w:pos="9072" w:leader="dot"/>
        <w:tab w:val="right" w:pos="9360" w:leader="dot"/>
      </w:tabs>
      <w:spacing w:before="120" w:after="120"/>
      <w:jc w:val="center"/>
    </w:pPr>
    <w:rPr>
      <w:rFonts w:ascii="Times" w:hAnsi="Times" w:cs="Times"/>
      <w:b/>
      <w:sz w:val="24"/>
    </w:rPr>
  </w:style>
  <w:style w:type="paragraph" w:styleId="TOC2">
    <w:name w:val="toc 2"/>
    <w:basedOn w:val="Normal"/>
    <w:next w:val="Normal"/>
    <w:pPr>
      <w:tabs>
        <w:tab w:val="clear" w:pos="720"/>
        <w:tab w:val="right" w:pos="9360" w:leader="dot"/>
      </w:tabs>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CG Times (WN)" w:hAnsi="CG Times (WN)" w:eastAsia="Times New Roman" w:cs="CG Times (WN)"/>
      <w:color w:val="auto"/>
      <w:sz w:val="20"/>
      <w:szCs w:val="20"/>
      <w:lang w:val="en-US" w:bidi="ar-SA" w:eastAsia="zh-CN"/>
    </w:rPr>
  </w:style>
  <w:style w:type="paragraph" w:styleId="section">
    <w:name w:val="section"/>
    <w:qFormat/>
    <w:pPr>
      <w:widowControl/>
      <w:bidi w:val="0"/>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5"/>
      </w:numPr>
      <w:ind w:hanging="360" w:start="360" w:end="0"/>
    </w:pPr>
    <w:rPr/>
  </w:style>
  <w:style w:type="paragraph" w:styleId="BodyTextIndent">
    <w:name w:val="Body Text Indent"/>
    <w:basedOn w:val="Normal"/>
    <w:pPr>
      <w:spacing w:before="0" w:after="240"/>
      <w:ind w:firstLine="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2000-08-25T15:16:00Z</dcterms:created>
  <dc:creator>maureen mcvicker</dc:creator>
  <dc:description>Clinton Gas Systems, Inc.</dc:description>
  <cp:keywords>Memo</cp:keywords>
  <dc:language>en-CA</dc:language>
  <cp:lastModifiedBy>sdaniel</cp:lastModifiedBy>
  <cp:lastPrinted>2000-08-25T14:31:00Z</cp:lastPrinted>
  <dcterms:modified xsi:type="dcterms:W3CDTF">2000-08-25T17:08:00Z</dcterms:modified>
  <cp:revision>5</cp:revision>
  <dc:subject>Confidentiality/Exclusivity Agreement</dc:subject>
  <dc:title>Memo</dc:title>
</cp:coreProperties>
</file>