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spacing w:lineRule="auto" w:line="480"/>
        <w:rPr/>
      </w:pPr>
      <w:r>
        <w:rPr/>
        <w:t>The Energy &amp; Power Risk Glossary</w:t>
      </w:r>
    </w:p>
    <w:p>
      <w:pPr>
        <w:pStyle w:val="Normal"/>
        <w:spacing w:lineRule="auto" w:line="480"/>
        <w:rPr/>
      </w:pPr>
      <w:r>
        <w:rPr/>
        <w:t>Version 2, December 1, 2000</w:t>
      </w:r>
    </w:p>
    <w:p>
      <w:pPr>
        <w:pStyle w:val="Normal"/>
        <w:spacing w:lineRule="auto" w:line="480"/>
        <w:rPr/>
      </w:pPr>
      <w:r>
        <w:rPr/>
      </w:r>
    </w:p>
    <w:p>
      <w:pPr>
        <w:pStyle w:val="Normal"/>
        <w:spacing w:lineRule="auto" w:line="480"/>
        <w:rPr>
          <w:b/>
        </w:rPr>
      </w:pPr>
      <w:r>
        <w:rPr>
          <w:b/>
        </w:rPr>
        <w:t>Can Any Risk Be Managed?</w:t>
      </w:r>
    </w:p>
    <w:p>
      <w:pPr>
        <w:pStyle w:val="Footer"/>
        <w:tabs>
          <w:tab w:val="clear" w:pos="4320"/>
          <w:tab w:val="clear" w:pos="8640"/>
        </w:tabs>
        <w:spacing w:lineRule="auto" w:line="480"/>
        <w:rPr/>
      </w:pPr>
      <w:r>
        <w:rPr/>
        <w:t>&lt;Sidebar to Title&gt;</w:t>
      </w:r>
    </w:p>
    <w:p>
      <w:pPr>
        <w:pStyle w:val="Normal"/>
        <w:spacing w:lineRule="auto" w:line="480"/>
        <w:rPr/>
      </w:pPr>
      <w:r>
        <w:rPr/>
        <w:tab/>
      </w:r>
      <w:r>
        <w:rPr>
          <w:b/>
          <w:i/>
        </w:rPr>
        <w:t xml:space="preserve">Enron is one of the world’s leading electricity, natural gas and communications companies.  We market electricity and natural gas, deliver physical commodities and financial risk management services to customers around the world.  </w:t>
      </w:r>
    </w:p>
    <w:p>
      <w:pPr>
        <w:pStyle w:val="Footer"/>
        <w:tabs>
          <w:tab w:val="clear" w:pos="4320"/>
          <w:tab w:val="clear" w:pos="8640"/>
        </w:tabs>
        <w:spacing w:lineRule="auto" w:line="480"/>
        <w:rPr/>
      </w:pPr>
      <w:r>
        <w:rPr/>
        <w:t>&lt;Main Copy&gt;</w:t>
      </w:r>
    </w:p>
    <w:p>
      <w:pPr>
        <w:pStyle w:val="Normal"/>
        <w:spacing w:lineRule="auto" w:line="480"/>
        <w:rPr/>
      </w:pPr>
      <w:r>
        <w:rPr/>
        <w:tab/>
        <w:t>Risk management must rank among the fastest growing professions in energy, and there are plenty of reasons why. Skilled risk management is separating energy industry leaders from the also-rans. Industry analysts bluntly tell utility management that they no longer can blame factors “out of their control” for earnings shortfalls because the remedies to treat volatility are readily available. Conceivably, a power generator can hedge its fuel supply, the price it gets for the energy it sells, the weather that affects sales, the creditworthiness of its creditors and the bandwidth it uses for telecommunications. And of course the generator’s finance department is hedging their foreign exchange and interest rate risk.</w:t>
      </w:r>
    </w:p>
    <w:p>
      <w:pPr>
        <w:pStyle w:val="Normal"/>
        <w:spacing w:lineRule="auto" w:line="480"/>
        <w:rPr/>
      </w:pPr>
      <w:r>
        <w:rPr/>
        <w:tab/>
        <w:t>Why don’t businesses habitually use risk instruments? Some companies are fearful of anything associated with derivatives; others have trouble finding and hiring talented people who understand risk. Yet another group hangs back, waiting to see how others make out, not realizing they are giving their competition first-mover advantage.</w:t>
      </w:r>
    </w:p>
    <w:p>
      <w:pPr>
        <w:pStyle w:val="Normal"/>
        <w:spacing w:lineRule="auto" w:line="480"/>
        <w:rPr/>
      </w:pPr>
      <w:r>
        <w:rPr/>
        <w:tab/>
        <w:t>Risk management, however, is not as complicated as it seems. Many companies start by hedging a small percentage of their risk. They seek outside help to establish in-house systems to manage their market positions. As their comfort level grows, so does their involvement and profit potential as well.</w:t>
      </w:r>
    </w:p>
    <w:p>
      <w:pPr>
        <w:pStyle w:val="Normal"/>
        <w:spacing w:lineRule="auto" w:line="480"/>
        <w:rPr/>
      </w:pPr>
      <w:r>
        <w:rPr/>
        <w:tab/>
        <w:t>Recently Enron made risk management easier and more understandable through the introduction of EnronOnline which was launched on November 29, 1999. EnronOnline is an Internet-based global marketplace for commodities. Users have the opportunity to buy or sell over 1,200 different physical and financial products with Enron, which serves as the counterparty in each transaction. The system offers transactions in 13 currencies, with prices set and updated throughout the day by Enron’s traders. Price discovery is instantaneous, and customers can look up prices and terms exactly when they want to and at their own pace. It’s a fantastic system for initial traders who seek marketplace knowledge.</w:t>
      </w:r>
    </w:p>
    <w:p>
      <w:pPr>
        <w:pStyle w:val="Normal"/>
        <w:spacing w:lineRule="auto" w:line="480"/>
        <w:rPr/>
      </w:pPr>
      <w:r>
        <w:rPr/>
        <w:tab/>
        <w:t>As of December 1, 2000, EnronOnline had handled 488,000 transactions with a notional value of $283 billion, making EnronOnline the largest e-commerce website in the world. The system has almost limitless potential for use. It can carry out hundreds of transactions in minutes, a feat that traders armed only with telephones and faxes cannot match. It allows Enron traders to continually create new products in response to customer needs, such as longer terms and more choice in delivery points.</w:t>
      </w:r>
    </w:p>
    <w:p>
      <w:pPr>
        <w:pStyle w:val="Normal"/>
        <w:spacing w:lineRule="auto" w:line="480"/>
        <w:rPr/>
      </w:pPr>
      <w:r>
        <w:rPr/>
        <w:tab/>
        <w:t>The more products offered on EnronOnline, the more information is available. The more information, the more transactions take place. The more transactions, the greater price transparency and liquidity exist. Transparency and liquidity, in turn, attract people to the market. EnronOnline has started a remarkable cycle where growth feeds growth.</w:t>
      </w:r>
    </w:p>
    <w:p>
      <w:pPr>
        <w:pStyle w:val="Normal"/>
        <w:spacing w:lineRule="auto" w:line="480"/>
        <w:rPr/>
      </w:pPr>
      <w:r>
        <w:rPr/>
      </w:r>
    </w:p>
    <w:p>
      <w:pPr>
        <w:pStyle w:val="Heading1"/>
        <w:spacing w:lineRule="auto" w:line="480"/>
        <w:ind w:hanging="0" w:start="0"/>
        <w:rPr/>
      </w:pPr>
      <w:r>
        <w:rPr/>
        <w:t>Turning to Other Risks</w:t>
      </w:r>
    </w:p>
    <w:p>
      <w:pPr>
        <w:pStyle w:val="Normal"/>
        <w:spacing w:lineRule="auto" w:line="480"/>
        <w:rPr/>
      </w:pPr>
      <w:r>
        <w:rPr/>
        <w:tab/>
        <w:t>EnronOnline is a platform that can accelerate development of many commodity markets, both energy and non-energy alike. Enron has started a new business unit, Enron Net Works, to leverage EnronOnline and jumpstart new markets. Already we use EnronOnline to transact contracts in markets such as metals, bandwidth capacity, plastics, crude oil products, pulp and paper, sea freight, steel, coal, weather derivatives and lumber. We believe that what we are doing today is only a preamble to how risk will be managed in the future.</w:t>
      </w:r>
    </w:p>
    <w:p>
      <w:pPr>
        <w:pStyle w:val="Normal"/>
        <w:spacing w:lineRule="auto" w:line="480"/>
        <w:ind w:firstLine="720" w:end="0"/>
        <w:rPr/>
      </w:pPr>
      <w:r>
        <w:rPr/>
        <w:t>Knowledgeable companies today track their “value at risk,” or their day-to-day exposure to market and financial fluctuations. We are using Enron’s information technology and risk expertise to reveal probability trends and scenarios to create metrics to manage more risk. An excellent example is the Enron Cost of Credit metric, an outgrowth of EnronCredit, which expresses commercial credit risk as an interest rate spread over LIBOR. (See sidebar.) That single number, the product of relentless number-crunching and analysis, can be applied to credit decisions so businesses can set counterparty deal terms appropriately and manage the credit risk they already have.</w:t>
      </w:r>
    </w:p>
    <w:p>
      <w:pPr>
        <w:pStyle w:val="Normal"/>
        <w:spacing w:lineRule="auto" w:line="480"/>
        <w:ind w:firstLine="720" w:end="0"/>
        <w:rPr/>
      </w:pPr>
      <w:r>
        <w:rPr/>
        <w:t xml:space="preserve">Once a risk is made fungible and easy to understand, the numbers tell the story. Businesses can plan for the future, forecast accurate budgets and spot new and profitable arbitrage opportunities. By expressing risks as a number, different types of risk can be weighed by a common measure and played off one another. When a higher-than-usual exposure to natural gas price risk is offset by a highly hedged position in weather protection, the company’s overall value at risk remains stable. </w:t>
      </w:r>
    </w:p>
    <w:p>
      <w:pPr>
        <w:pStyle w:val="Normal"/>
        <w:spacing w:lineRule="auto" w:line="480"/>
        <w:ind w:firstLine="720" w:end="0"/>
        <w:rPr/>
      </w:pPr>
      <w:r>
        <w:rPr/>
        <w:t>That’s when risk management becomes creative. If you work with a company like Enron, with broad expertise in managing risk and involvement in different types of commodity markets, you can find innovative and customized ways to manage your specific risks. We could, for example, bundle multiple commodities into one structured transaction. A company could shelter itself from higher gas prices in the future, and Enron will take payment in electricity, physical metals or another industrial commodity. Risk management then becomes amazingly efficient and effective.</w:t>
      </w:r>
    </w:p>
    <w:p>
      <w:pPr>
        <w:pStyle w:val="Normal"/>
        <w:spacing w:lineRule="auto" w:line="480"/>
        <w:ind w:firstLine="720" w:end="0"/>
        <w:rPr/>
      </w:pPr>
      <w:r>
        <w:rPr/>
        <w:t>Like death and taxes, risks cannot be avoided. We may not be able to manage them all, but we’re finding new ways to manage more of them.</w:t>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rPr/>
      </w:pPr>
      <w:r>
        <w:rPr/>
        <w:t xml:space="preserve">SIDEBAR: </w:t>
      </w:r>
    </w:p>
    <w:p>
      <w:pPr>
        <w:pStyle w:val="Heading2"/>
        <w:spacing w:lineRule="auto" w:line="480"/>
        <w:ind w:hanging="0" w:end="0"/>
        <w:rPr/>
      </w:pPr>
      <w:r>
        <w:rPr/>
        <w:t>Managing Credit Risk Real-Time</w:t>
      </w:r>
    </w:p>
    <w:p>
      <w:pPr>
        <w:pStyle w:val="Normal"/>
        <w:spacing w:lineRule="auto" w:line="480"/>
        <w:ind w:firstLine="720" w:end="0"/>
        <w:rPr/>
      </w:pPr>
      <w:r>
        <w:rPr/>
        <w:t>The increasing volatility of the energy industry has created serious concern over the creditworthiness of counterparties. Under extreme market conditions, when prices and the number of transactions escalate, exposure to counterparty risk can multiply rapidly.</w:t>
      </w:r>
    </w:p>
    <w:p>
      <w:pPr>
        <w:pStyle w:val="Normal"/>
        <w:spacing w:lineRule="auto" w:line="480"/>
        <w:ind w:firstLine="720" w:end="0"/>
        <w:rPr/>
      </w:pPr>
      <w:r>
        <w:rPr/>
        <w:t>By their nature, traditional credit ratings and scoring mechanisms cannot provide real-time credit risk measurement. But delaying credit approval can jeopardize business. Enron has responded to the market’s need with EnronCredit, an Internet-based real-time credit evaluation platform. Users can quickly ascertain the credit status of their counterparties and take measures to protect themselves by purchasing credit risk management tools.</w:t>
      </w:r>
    </w:p>
    <w:p>
      <w:pPr>
        <w:pStyle w:val="Normal"/>
        <w:spacing w:lineRule="auto" w:line="480"/>
        <w:ind w:firstLine="720" w:end="0"/>
        <w:rPr/>
      </w:pPr>
      <w:r>
        <w:rPr/>
        <w:t>The development of real-time credit ratings demonstrates how sophisticated information technology, combined with an Internet delivery platform, can create much-needed risk protection. Enron expresses credit risk in the simplest way possible – as an interest rate spread above LIBOR. We call it the Enron Cost of Credit (ECC). A company with a 1% ECC requires an additional 1% premium per year for extending credit to this company. That simple number is based on multiple and complex calculations and data, such as balance sheet data, ratings agency information and equity price movements. An ECC can price credit precisely, differentiating credit quality to the 1/100</w:t>
      </w:r>
      <w:r>
        <w:rPr>
          <w:vertAlign w:val="superscript"/>
        </w:rPr>
        <w:t>th</w:t>
      </w:r>
      <w:r>
        <w:rPr/>
        <w:t xml:space="preserve"> of a percent. An ECC can be incorporated into real-time business decisions, both during the deal evaluation period and as an ongoing tool for monitoring the credit quality already on the books.</w:t>
      </w:r>
    </w:p>
    <w:p>
      <w:pPr>
        <w:pStyle w:val="Normal"/>
        <w:spacing w:lineRule="auto" w:line="480"/>
        <w:ind w:firstLine="720" w:end="0"/>
        <w:rPr/>
      </w:pPr>
      <w:r>
        <w:rPr/>
        <w:t xml:space="preserve">To increase the accuracy of credit pricing, Enron makes a two-way market in Fixed Bankruptcy Payments based on the ECC. With buyers and sellers transacting in these instruments, the ECC becomes a market-clearing price for trade credit obligations. Enron’s commitment to supporting a two-way market makes the ECC a more accurate real-time tool for making credit decisions. </w:t>
      </w:r>
    </w:p>
    <w:p>
      <w:pPr>
        <w:pStyle w:val="Normal"/>
        <w:spacing w:lineRule="auto" w:line="480"/>
        <w:rPr/>
      </w:pPr>
      <w:r>
        <w:rPr/>
      </w:r>
    </w:p>
    <w:p>
      <w:pPr>
        <w:pStyle w:val="Normal"/>
        <w:spacing w:lineRule="auto" w:line="480"/>
        <w:rPr/>
      </w:pPr>
      <w:r>
        <w:rPr/>
        <w:t xml:space="preserve">Visit us at </w:t>
      </w:r>
      <w:hyperlink r:id="rId2">
        <w:r>
          <w:rPr>
            <w:rStyle w:val="Hyperlink"/>
          </w:rPr>
          <w:t>www.enrononline.com</w:t>
        </w:r>
      </w:hyperlink>
      <w:r>
        <w:rPr/>
        <w:t xml:space="preserve"> and </w:t>
      </w:r>
      <w:hyperlink r:id="rId3">
        <w:r>
          <w:rPr>
            <w:rStyle w:val="Hyperlink"/>
          </w:rPr>
          <w:t>www.enroncredit.com</w:t>
        </w:r>
      </w:hyperlink>
    </w:p>
    <w:p>
      <w:pPr>
        <w:pStyle w:val="Normal"/>
        <w:spacing w:lineRule="auto" w:line="480"/>
        <w:rPr/>
      </w:pPr>
      <w:r>
        <w:rPr/>
        <w:t>BREAKOUT QUOTE:</w:t>
      </w:r>
    </w:p>
    <w:p>
      <w:pPr>
        <w:pStyle w:val="Normal"/>
        <w:spacing w:lineRule="auto" w:line="480"/>
        <w:rPr/>
      </w:pPr>
      <w:r>
        <w:rPr/>
        <w:t>EnronOnline is a platform that can accelerate development of many commodity markets.</w:t>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http://www.enroncredit.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2000-11-27T10:42:00Z</dcterms:created>
  <dc:creator>jmandel</dc:creator>
  <dc:description/>
  <dc:language>en-CA</dc:language>
  <cp:lastModifiedBy>yparker</cp:lastModifiedBy>
  <cp:lastPrinted>2000-11-27T07:46:00Z</cp:lastPrinted>
  <dcterms:modified xsi:type="dcterms:W3CDTF">2000-12-06T18:10:00Z</dcterms:modified>
  <cp:revision>9</cp:revision>
  <dc:subject/>
  <dc:title>The Energy &amp; Power Risk Glossary</dc:title>
</cp:coreProperties>
</file>