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tab/>
        <w:tab/>
        <w:tab/>
      </w:r>
      <w:r>
        <w:rPr>
          <w:b/>
          <w:sz w:val="28"/>
        </w:rPr>
        <w:t>Disclosure Statements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0"/>
        </w:rPr>
      </w:r>
    </w:p>
    <w:p>
      <w:pPr>
        <w:pStyle w:val="Normal"/>
        <w:tabs>
          <w:tab w:val="left" w:pos="720" w:leader="none"/>
          <w:tab w:val="left" w:pos="144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720" w:end="0"/>
        <w:rPr>
          <w:sz w:val="20"/>
        </w:rPr>
      </w:pPr>
      <w:r>
        <w:rPr>
          <w:sz w:val="26"/>
        </w:rPr>
        <w:t xml:space="preserve"> </w:t>
      </w:r>
      <w:r>
        <w:rPr>
          <w:b/>
          <w:sz w:val="28"/>
        </w:rPr>
        <w:tab/>
        <w:tab/>
        <w:tab/>
        <w:tab/>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180" w:leader="none"/>
          <w:tab w:val="left" w:pos="288" w:leader="none"/>
          <w:tab w:val="left" w:pos="1008" w:leader="none"/>
          <w:tab w:val="left" w:pos="1160"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tbl>
      <w:tblPr>
        <w:tblW w:w="8640" w:type="dxa"/>
        <w:jc w:val="start"/>
        <w:tblInd w:w="360" w:type="dxa"/>
        <w:tblLayout w:type="fixed"/>
        <w:tblCellMar>
          <w:top w:w="0" w:type="dxa"/>
          <w:start w:w="216" w:type="dxa"/>
          <w:bottom w:w="0" w:type="dxa"/>
          <w:end w:w="216" w:type="dxa"/>
        </w:tblCellMar>
      </w:tblPr>
      <w:tblGrid>
        <w:gridCol w:w="8640"/>
      </w:tblGrid>
      <w:tr>
        <w:trPr/>
        <w:tc>
          <w:tcPr>
            <w:tcW w:w="86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80" w:leader="none"/>
                <w:tab w:val="left" w:pos="1160" w:leader="none"/>
              </w:tabs>
              <w:ind w:hanging="720" w:start="720" w:end="0"/>
              <w:rPr>
                <w:sz w:val="20"/>
              </w:rPr>
            </w:pPr>
            <w:r>
              <w:rPr>
                <w:sz w:val="20"/>
              </w:rPr>
              <w:t>The laws and regulations of the jurisdictions in which we do business and the rules of the</w:t>
            </w:r>
          </w:p>
        </w:tc>
      </w:tr>
      <w:tr>
        <w:trPr/>
        <w:tc>
          <w:tcPr>
            <w:tcW w:w="86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80" w:leader="none"/>
                <w:tab w:val="left" w:pos="1160" w:leader="none"/>
              </w:tabs>
              <w:ind w:hanging="720" w:start="720" w:end="0"/>
              <w:rPr>
                <w:sz w:val="20"/>
              </w:rPr>
            </w:pPr>
            <w:r>
              <w:rPr>
                <w:sz w:val="20"/>
              </w:rPr>
              <w:t>exchanges of which we are a member require J.P. Morgan Futures Inc. to furnish certain risk</w:t>
            </w:r>
          </w:p>
        </w:tc>
      </w:tr>
      <w:tr>
        <w:trPr/>
        <w:tc>
          <w:tcPr>
            <w:tcW w:w="86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80" w:leader="none"/>
                <w:tab w:val="left" w:pos="1160" w:leader="none"/>
              </w:tabs>
              <w:ind w:hanging="720" w:start="720" w:end="0"/>
              <w:rPr>
                <w:sz w:val="20"/>
              </w:rPr>
            </w:pPr>
            <w:r>
              <w:rPr>
                <w:sz w:val="20"/>
              </w:rPr>
              <w:t>disclosures and other information to our customers.  This booklet contains those disclosures</w:t>
            </w:r>
          </w:p>
        </w:tc>
      </w:tr>
      <w:tr>
        <w:trPr/>
        <w:tc>
          <w:tcPr>
            <w:tcW w:w="86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80" w:leader="none"/>
                <w:tab w:val="left" w:pos="1160" w:leader="none"/>
              </w:tabs>
              <w:ind w:hanging="720" w:start="720" w:end="0"/>
              <w:rPr/>
            </w:pPr>
            <w:r>
              <w:rPr>
                <w:sz w:val="20"/>
              </w:rPr>
              <w:t xml:space="preserve">and information.  </w:t>
            </w:r>
            <w:r>
              <w:rPr>
                <w:b/>
                <w:sz w:val="20"/>
              </w:rPr>
              <w:t>Please read this booklet carefully and retain it in your records.</w:t>
            </w:r>
            <w:r>
              <w:rPr>
                <w:sz w:val="20"/>
              </w:rPr>
              <w:t xml:space="preserve"> </w:t>
            </w:r>
          </w:p>
        </w:tc>
      </w:tr>
      <w:tr>
        <w:trPr/>
        <w:tc>
          <w:tcPr>
            <w:tcW w:w="86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80" w:leader="none"/>
                <w:tab w:val="left" w:pos="1160" w:leader="none"/>
              </w:tabs>
              <w:ind w:hanging="720" w:start="720" w:end="0"/>
              <w:rPr>
                <w:sz w:val="20"/>
              </w:rPr>
            </w:pPr>
            <w:r>
              <w:rPr>
                <w:sz w:val="20"/>
              </w:rPr>
              <w:t xml:space="preserve">If you desire further information or explanation, please contact your J.P. Morgan Futures Inc. </w:t>
            </w:r>
          </w:p>
        </w:tc>
      </w:tr>
      <w:tr>
        <w:trPr/>
        <w:tc>
          <w:tcPr>
            <w:tcW w:w="864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80" w:leader="none"/>
                <w:tab w:val="left" w:pos="1160" w:leader="none"/>
              </w:tabs>
              <w:ind w:hanging="720" w:start="720" w:end="0"/>
              <w:rPr>
                <w:sz w:val="20"/>
              </w:rPr>
            </w:pPr>
            <w:r>
              <w:rPr>
                <w:sz w:val="20"/>
              </w:rPr>
              <w:t>Account Representative.</w:t>
            </w:r>
          </w:p>
        </w:tc>
      </w:tr>
    </w:tbl>
    <w:p>
      <w:pPr>
        <w:pStyle w:val="Normal"/>
        <w:tabs>
          <w:tab w:val="clear" w:pos="720"/>
          <w:tab w:val="left" w:pos="180" w:leader="none"/>
          <w:tab w:val="left" w:pos="288" w:leader="none"/>
          <w:tab w:val="left" w:pos="1008" w:leader="none"/>
          <w:tab w:val="left" w:pos="1160"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180" w:leader="none"/>
          <w:tab w:val="left" w:pos="288" w:leader="none"/>
          <w:tab w:val="left" w:pos="1008" w:leader="none"/>
          <w:tab w:val="left" w:pos="1160"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ind w:hanging="720" w:start="720" w:end="0"/>
        <w:rPr/>
      </w:pPr>
      <w:r>
        <w:rPr/>
        <w:drawing>
          <wp:inline distT="0" distB="0" distL="0" distR="0">
            <wp:extent cx="1459865" cy="279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5" t="-129" r="-25" b="-129"/>
                    <a:stretch>
                      <a:fillRect/>
                    </a:stretch>
                  </pic:blipFill>
                  <pic:spPr bwMode="auto">
                    <a:xfrm>
                      <a:off x="0" y="0"/>
                      <a:ext cx="1459865" cy="279400"/>
                    </a:xfrm>
                    <a:prstGeom prst="rect">
                      <a:avLst/>
                    </a:prstGeom>
                    <a:noFill/>
                  </pic:spPr>
                </pic:pic>
              </a:graphicData>
            </a:graphic>
          </wp:inline>
        </w:drawing>
      </w:r>
    </w:p>
    <w:p>
      <w:pPr>
        <w:sectPr>
          <w:headerReference w:type="default" r:id="rId3"/>
          <w:footerReference w:type="default" r:id="rId4"/>
          <w:type w:val="nextPage"/>
          <w:pgSz w:w="12240" w:h="15840"/>
          <w:pgMar w:left="2160" w:right="1080" w:gutter="0" w:header="630" w:top="1440" w:footer="720" w:bottom="776"/>
          <w:pgNumType w:fmt="decimal"/>
          <w:formProt w:val="false"/>
          <w:textDirection w:val="lrTb"/>
          <w:docGrid w:type="default" w:linePitch="360" w:charSpace="0"/>
        </w:sectPr>
      </w:pPr>
    </w:p>
    <w:p>
      <w:pPr>
        <w:pStyle w:val="Normal"/>
        <w:tabs>
          <w:tab w:val="clear" w:pos="720"/>
          <w:tab w:val="left" w:pos="7200" w:leader="none"/>
        </w:tabs>
        <w:ind w:hanging="720" w:start="720" w:end="0"/>
        <w:rPr>
          <w:b/>
          <w:sz w:val="28"/>
        </w:rPr>
      </w:pPr>
      <w:r>
        <w:rPr>
          <w:b/>
          <w:sz w:val="28"/>
        </w:rPr>
      </w:r>
    </w:p>
    <w:p>
      <w:pPr>
        <w:pStyle w:val="Normal"/>
        <w:tabs>
          <w:tab w:val="clear" w:pos="720"/>
          <w:tab w:val="left" w:pos="7200" w:leader="none"/>
        </w:tabs>
        <w:ind w:hanging="720" w:start="720" w:end="0"/>
        <w:rPr>
          <w:b/>
          <w:sz w:val="28"/>
        </w:rPr>
      </w:pPr>
      <w:r>
        <w:rPr>
          <w:b/>
          <w:sz w:val="28"/>
        </w:rPr>
      </w:r>
    </w:p>
    <w:p>
      <w:pPr>
        <w:pStyle w:val="Normal"/>
        <w:tabs>
          <w:tab w:val="clear" w:pos="720"/>
          <w:tab w:val="left" w:pos="7200" w:leader="none"/>
        </w:tabs>
        <w:ind w:hanging="720" w:start="720" w:end="0"/>
        <w:rPr>
          <w:sz w:val="20"/>
        </w:rPr>
      </w:pPr>
      <w:r>
        <w:rPr>
          <w:b/>
          <w:sz w:val="28"/>
        </w:rPr>
        <w:t>Table of Contents</w:t>
      </w:r>
    </w:p>
    <w:p>
      <w:pPr>
        <w:pStyle w:val="Normal"/>
        <w:tabs>
          <w:tab w:val="clear" w:pos="720"/>
          <w:tab w:val="left" w:pos="7200" w:leader="none"/>
        </w:tabs>
        <w:ind w:hanging="720" w:start="720" w:end="0"/>
        <w:rPr>
          <w:sz w:val="20"/>
        </w:rPr>
      </w:pPr>
      <w:r>
        <w:rPr>
          <w:sz w:val="20"/>
        </w:rPr>
      </w:r>
    </w:p>
    <w:p>
      <w:pPr>
        <w:pStyle w:val="Normal"/>
        <w:tabs>
          <w:tab w:val="clear" w:pos="720"/>
          <w:tab w:val="left" w:pos="7470" w:leader="none"/>
          <w:tab w:val="left" w:pos="8370" w:leader="none"/>
        </w:tabs>
        <w:ind w:hanging="720" w:start="720" w:end="0"/>
        <w:rPr>
          <w:sz w:val="20"/>
        </w:rPr>
      </w:pPr>
      <w:r>
        <w:rPr>
          <w:b/>
          <w:sz w:val="20"/>
        </w:rPr>
        <w:t xml:space="preserve">Statements                                                                                         </w:t>
        <w:tab/>
        <w:tab/>
        <w:t>Page</w:t>
      </w:r>
    </w:p>
    <w:p>
      <w:pPr>
        <w:pStyle w:val="Normal"/>
        <w:tabs>
          <w:tab w:val="clear" w:pos="720"/>
          <w:tab w:val="left" w:pos="7200" w:leader="none"/>
        </w:tabs>
        <w:ind w:hanging="720" w:start="720" w:end="0"/>
        <w:rPr>
          <w:sz w:val="20"/>
        </w:rPr>
      </w:pPr>
      <w:r>
        <w:rPr>
          <w:sz w:val="20"/>
        </w:rPr>
      </w:r>
    </w:p>
    <w:p>
      <w:pPr>
        <w:pStyle w:val="Normal"/>
        <w:tabs>
          <w:tab w:val="clear" w:pos="720"/>
          <w:tab w:val="right" w:pos="9000" w:leader="none"/>
        </w:tabs>
        <w:ind w:hanging="720" w:start="720" w:end="0"/>
        <w:rPr/>
      </w:pPr>
      <w:r>
        <w:rPr>
          <w:sz w:val="20"/>
        </w:rPr>
        <w:t xml:space="preserve">CFTC Rule 1.55 Futures and Options Risk Disclosure </w:t>
      </w:r>
      <w:r>
        <w:rPr>
          <w:sz w:val="20"/>
          <w:u w:val="dotted"/>
        </w:rPr>
        <w:tab/>
      </w:r>
      <w:r>
        <w:rPr>
          <w:sz w:val="20"/>
        </w:rPr>
        <w:t>1</w:t>
      </w:r>
    </w:p>
    <w:p>
      <w:pPr>
        <w:pStyle w:val="Normal"/>
        <w:tabs>
          <w:tab w:val="clear" w:pos="720"/>
          <w:tab w:val="right" w:pos="9000" w:leader="none"/>
        </w:tabs>
        <w:ind w:hanging="720" w:start="720" w:end="0"/>
        <w:rPr>
          <w:sz w:val="20"/>
        </w:rPr>
      </w:pPr>
      <w:r>
        <w:rPr>
          <w:sz w:val="20"/>
        </w:rPr>
      </w:r>
    </w:p>
    <w:p>
      <w:pPr>
        <w:pStyle w:val="Normal"/>
        <w:tabs>
          <w:tab w:val="clear" w:pos="720"/>
          <w:tab w:val="right" w:pos="9000" w:leader="none"/>
        </w:tabs>
        <w:ind w:hanging="720" w:start="720" w:end="0"/>
        <w:rPr/>
      </w:pPr>
      <w:r>
        <w:rPr>
          <w:sz w:val="20"/>
        </w:rPr>
        <w:t xml:space="preserve">Direct Order Transmittal Client Disclosure </w:t>
      </w:r>
      <w:r>
        <w:rPr>
          <w:sz w:val="20"/>
          <w:u w:val="dotted"/>
        </w:rPr>
        <w:tab/>
      </w:r>
      <w:r>
        <w:rPr>
          <w:sz w:val="20"/>
        </w:rPr>
        <w:t>4</w:t>
      </w:r>
    </w:p>
    <w:p>
      <w:pPr>
        <w:pStyle w:val="Normal"/>
        <w:tabs>
          <w:tab w:val="clear" w:pos="720"/>
          <w:tab w:val="right" w:pos="9000" w:leader="none"/>
        </w:tabs>
        <w:ind w:hanging="720" w:start="720" w:end="0"/>
        <w:rPr>
          <w:sz w:val="20"/>
        </w:rPr>
      </w:pPr>
      <w:r>
        <w:rPr>
          <w:sz w:val="20"/>
        </w:rPr>
      </w:r>
    </w:p>
    <w:p>
      <w:pPr>
        <w:pStyle w:val="Normal"/>
        <w:tabs>
          <w:tab w:val="clear" w:pos="720"/>
          <w:tab w:val="right" w:pos="9000" w:leader="none"/>
        </w:tabs>
        <w:ind w:hanging="720" w:start="720" w:end="0"/>
        <w:rPr>
          <w:sz w:val="20"/>
        </w:rPr>
      </w:pPr>
      <w:r>
        <w:rPr>
          <w:sz w:val="20"/>
        </w:rPr>
        <w:t xml:space="preserve">Chicago Mercantile Exchange ("CME") and </w:t>
      </w:r>
    </w:p>
    <w:p>
      <w:pPr>
        <w:pStyle w:val="Normal"/>
        <w:tabs>
          <w:tab w:val="clear" w:pos="720"/>
          <w:tab w:val="right" w:pos="9000" w:leader="none"/>
        </w:tabs>
        <w:ind w:hanging="720" w:start="720" w:end="0"/>
        <w:rPr/>
      </w:pPr>
      <w:r>
        <w:rPr>
          <w:sz w:val="20"/>
        </w:rPr>
        <w:t>Chicago Board of Trade ("CBOT") Average Price System ("APS")</w:t>
      </w:r>
      <w:r>
        <w:rPr>
          <w:sz w:val="20"/>
          <w:u w:val="dotted"/>
        </w:rPr>
        <w:tab/>
      </w:r>
      <w:r>
        <w:rPr>
          <w:sz w:val="20"/>
        </w:rPr>
        <w:t>5</w:t>
      </w:r>
    </w:p>
    <w:p>
      <w:pPr>
        <w:pStyle w:val="Normal"/>
        <w:tabs>
          <w:tab w:val="clear" w:pos="720"/>
          <w:tab w:val="right" w:pos="9000" w:leader="none"/>
        </w:tabs>
        <w:ind w:hanging="720" w:start="720" w:end="0"/>
        <w:rPr>
          <w:sz w:val="20"/>
        </w:rPr>
      </w:pPr>
      <w:r>
        <w:rPr>
          <w:sz w:val="20"/>
        </w:rPr>
      </w:r>
    </w:p>
    <w:p>
      <w:pPr>
        <w:pStyle w:val="Normal"/>
        <w:tabs>
          <w:tab w:val="clear" w:pos="720"/>
          <w:tab w:val="right" w:pos="9000" w:leader="none"/>
        </w:tabs>
        <w:ind w:hanging="720" w:start="720" w:end="0"/>
        <w:rPr/>
      </w:pPr>
      <w:r>
        <w:rPr>
          <w:sz w:val="20"/>
        </w:rPr>
        <w:t>Electronic Trading and Order Routing Systems Disclosure Statement</w:t>
      </w:r>
      <w:r>
        <w:rPr>
          <w:sz w:val="20"/>
          <w:u w:val="dotted"/>
        </w:rPr>
        <w:tab/>
      </w:r>
      <w:r>
        <w:rPr>
          <w:sz w:val="20"/>
        </w:rPr>
        <w:t>6</w:t>
      </w:r>
    </w:p>
    <w:p>
      <w:pPr>
        <w:pStyle w:val="Normal"/>
        <w:tabs>
          <w:tab w:val="clear" w:pos="720"/>
          <w:tab w:val="right" w:pos="9000" w:leader="none"/>
        </w:tabs>
        <w:ind w:hanging="720" w:start="720" w:end="0"/>
        <w:rPr>
          <w:sz w:val="20"/>
        </w:rPr>
      </w:pPr>
      <w:r>
        <w:rPr>
          <w:sz w:val="20"/>
        </w:rPr>
      </w:r>
    </w:p>
    <w:p>
      <w:pPr>
        <w:pStyle w:val="Normal"/>
        <w:tabs>
          <w:tab w:val="clear" w:pos="720"/>
          <w:tab w:val="right" w:pos="9000" w:leader="none"/>
        </w:tabs>
        <w:ind w:hanging="720" w:start="720" w:end="0"/>
        <w:rPr/>
      </w:pPr>
      <w:r>
        <w:rPr>
          <w:sz w:val="20"/>
        </w:rPr>
        <w:t>Singapore Risk Disclosure</w:t>
      </w:r>
      <w:r>
        <w:rPr>
          <w:sz w:val="20"/>
          <w:u w:val="dotted"/>
        </w:rPr>
        <w:tab/>
      </w:r>
      <w:r>
        <w:rPr>
          <w:sz w:val="20"/>
        </w:rPr>
        <w:t>7</w:t>
      </w:r>
    </w:p>
    <w:p>
      <w:pPr>
        <w:pStyle w:val="Normal"/>
        <w:tabs>
          <w:tab w:val="clear" w:pos="720"/>
          <w:tab w:val="right" w:pos="9000" w:leader="none"/>
        </w:tabs>
        <w:ind w:hanging="720" w:start="720" w:end="0"/>
        <w:rPr>
          <w:sz w:val="20"/>
        </w:rPr>
      </w:pPr>
      <w:r>
        <w:rPr>
          <w:sz w:val="20"/>
        </w:rPr>
      </w:r>
    </w:p>
    <w:p>
      <w:pPr>
        <w:pStyle w:val="Normal"/>
        <w:tabs>
          <w:tab w:val="clear" w:pos="720"/>
          <w:tab w:val="right" w:pos="9000" w:leader="none"/>
        </w:tabs>
        <w:ind w:hanging="720" w:start="720" w:end="0"/>
        <w:rPr/>
      </w:pPr>
      <w:r>
        <w:rPr>
          <w:sz w:val="20"/>
        </w:rPr>
        <w:t>SGX-DT  Exclusion of Liability</w:t>
      </w:r>
      <w:r>
        <w:rPr>
          <w:sz w:val="20"/>
          <w:u w:val="dotted"/>
        </w:rPr>
        <w:tab/>
      </w:r>
      <w:r>
        <w:rPr>
          <w:sz w:val="20"/>
        </w:rPr>
        <w:t>11</w:t>
      </w:r>
    </w:p>
    <w:p>
      <w:pPr>
        <w:pStyle w:val="Normal"/>
        <w:tabs>
          <w:tab w:val="clear" w:pos="720"/>
          <w:tab w:val="right" w:pos="9000" w:leader="none"/>
        </w:tabs>
        <w:ind w:hanging="720" w:start="720" w:end="0"/>
        <w:rPr>
          <w:sz w:val="20"/>
        </w:rPr>
      </w:pPr>
      <w:r>
        <w:rPr>
          <w:sz w:val="20"/>
        </w:rPr>
      </w:r>
    </w:p>
    <w:p>
      <w:pPr>
        <w:pStyle w:val="Normal"/>
        <w:tabs>
          <w:tab w:val="clear" w:pos="720"/>
          <w:tab w:val="right" w:pos="9000" w:leader="none"/>
        </w:tabs>
        <w:ind w:hanging="720" w:start="720" w:end="0"/>
        <w:rPr/>
      </w:pPr>
      <w:r>
        <w:rPr>
          <w:sz w:val="20"/>
        </w:rPr>
        <w:t>NYMEX Specialist Market Maker Customer Information Statement</w:t>
      </w:r>
      <w:r>
        <w:rPr>
          <w:sz w:val="20"/>
          <w:u w:val="dotted"/>
        </w:rPr>
        <w:tab/>
      </w:r>
      <w:r>
        <w:rPr>
          <w:sz w:val="20"/>
        </w:rPr>
        <w:t>13</w:t>
      </w:r>
    </w:p>
    <w:p>
      <w:pPr>
        <w:pStyle w:val="Normal"/>
        <w:tabs>
          <w:tab w:val="clear" w:pos="720"/>
          <w:tab w:val="right" w:pos="9000" w:leader="none"/>
        </w:tabs>
        <w:ind w:hanging="720" w:start="720" w:end="0"/>
        <w:rPr>
          <w:sz w:val="20"/>
        </w:rPr>
      </w:pPr>
      <w:r>
        <w:rPr>
          <w:sz w:val="20"/>
        </w:rPr>
      </w:r>
    </w:p>
    <w:p>
      <w:pPr>
        <w:pStyle w:val="Normal"/>
        <w:tabs>
          <w:tab w:val="clear" w:pos="720"/>
          <w:tab w:val="right" w:pos="9000" w:leader="none"/>
        </w:tabs>
        <w:ind w:hanging="720" w:start="720" w:end="0"/>
        <w:rPr/>
      </w:pPr>
      <w:r>
        <w:rPr>
          <w:sz w:val="20"/>
        </w:rPr>
        <w:t>Non-U.S. Customer Information: Designation of Agent and Special Calls</w:t>
      </w:r>
      <w:r>
        <w:rPr>
          <w:sz w:val="20"/>
          <w:u w:val="dotted"/>
        </w:rPr>
        <w:tab/>
      </w:r>
      <w:r>
        <w:rPr>
          <w:sz w:val="20"/>
        </w:rPr>
        <w:t>15</w:t>
      </w:r>
    </w:p>
    <w:p>
      <w:pPr>
        <w:pStyle w:val="Normal"/>
        <w:tabs>
          <w:tab w:val="clear" w:pos="720"/>
          <w:tab w:val="left" w:pos="7200" w:leader="none"/>
        </w:tabs>
        <w:ind w:hanging="720" w:start="720" w:end="0"/>
        <w:rPr>
          <w:sz w:val="20"/>
        </w:rPr>
      </w:pPr>
      <w:r>
        <w:rPr>
          <w:sz w:val="20"/>
        </w:rPr>
      </w:r>
    </w:p>
    <w:p>
      <w:pPr>
        <w:pStyle w:val="Normal"/>
        <w:tabs>
          <w:tab w:val="clear" w:pos="720"/>
          <w:tab w:val="left" w:pos="7200" w:leader="none"/>
        </w:tabs>
        <w:ind w:hanging="720" w:start="720" w:end="0"/>
        <w:rPr>
          <w:sz w:val="20"/>
        </w:rPr>
      </w:pPr>
      <w:r>
        <w:rPr>
          <w:sz w:val="20"/>
        </w:rPr>
      </w:r>
    </w:p>
    <w:p>
      <w:pPr>
        <w:pStyle w:val="Normal"/>
        <w:tabs>
          <w:tab w:val="clear" w:pos="720"/>
          <w:tab w:val="left" w:pos="7200" w:leader="none"/>
        </w:tabs>
        <w:ind w:hanging="720" w:start="720" w:end="0"/>
        <w:rPr>
          <w:sz w:val="20"/>
        </w:rPr>
      </w:pPr>
      <w:r>
        <w:rPr>
          <w:sz w:val="20"/>
        </w:rPr>
      </w:r>
    </w:p>
    <w:p>
      <w:pPr>
        <w:pStyle w:val="Normal"/>
        <w:tabs>
          <w:tab w:val="clear" w:pos="720"/>
          <w:tab w:val="left" w:pos="7200" w:leader="none"/>
        </w:tabs>
        <w:ind w:hanging="720" w:start="720" w:end="0"/>
        <w:rPr>
          <w:sz w:val="20"/>
        </w:rPr>
      </w:pPr>
      <w:r>
        <w:rPr>
          <w:sz w:val="20"/>
        </w:rPr>
      </w:r>
    </w:p>
    <w:p>
      <w:pPr>
        <w:pStyle w:val="Normal"/>
        <w:tabs>
          <w:tab w:val="clear" w:pos="720"/>
          <w:tab w:val="left" w:pos="7200" w:leader="none"/>
        </w:tabs>
        <w:ind w:hanging="720" w:start="720" w:end="0"/>
        <w:rPr>
          <w:sz w:val="20"/>
        </w:rPr>
      </w:pPr>
      <w:r>
        <w:rPr>
          <w:sz w:val="20"/>
        </w:rPr>
      </w:r>
    </w:p>
    <w:p>
      <w:pPr>
        <w:pStyle w:val="Normal"/>
        <w:tabs>
          <w:tab w:val="clear" w:pos="720"/>
          <w:tab w:val="left" w:pos="7200" w:leader="none"/>
        </w:tabs>
        <w:ind w:hanging="720" w:start="720" w:end="0"/>
        <w:rPr>
          <w:sz w:val="20"/>
        </w:rPr>
      </w:pPr>
      <w:r>
        <w:rPr>
          <w:sz w:val="20"/>
        </w:rPr>
      </w:r>
    </w:p>
    <w:p>
      <w:pPr>
        <w:pStyle w:val="Normal"/>
        <w:tabs>
          <w:tab w:val="clear" w:pos="720"/>
          <w:tab w:val="left" w:pos="7200" w:leader="none"/>
        </w:tabs>
        <w:ind w:hanging="720" w:start="720" w:end="0"/>
        <w:rPr>
          <w:sz w:val="20"/>
        </w:rPr>
      </w:pPr>
      <w:r>
        <w:rPr>
          <w:sz w:val="20"/>
        </w:rPr>
      </w:r>
    </w:p>
    <w:p>
      <w:pPr>
        <w:pStyle w:val="Normal"/>
        <w:tabs>
          <w:tab w:val="clear" w:pos="720"/>
          <w:tab w:val="left" w:pos="7200" w:leader="none"/>
        </w:tabs>
        <w:ind w:hanging="720" w:start="720" w:end="0"/>
        <w:rPr>
          <w:sz w:val="14"/>
        </w:rPr>
      </w:pPr>
      <w:r>
        <w:rPr>
          <w:sz w:val="14"/>
        </w:rPr>
        <w:t>September 2000</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end"/>
        <w:rPr>
          <w:sz w:val="20"/>
        </w:rPr>
      </w:pPr>
      <w:r>
        <w:rPr>
          <w:sz w:val="20"/>
        </w:rPr>
      </w:r>
    </w:p>
    <w:p>
      <w:pPr>
        <w:sectPr>
          <w:type w:val="continuous"/>
          <w:pgSz w:w="12240" w:h="15840"/>
          <w:pgMar w:left="2160" w:right="1080" w:gutter="0" w:header="630" w:top="1440" w:footer="720" w:bottom="776"/>
          <w:formProt w:val="false"/>
          <w:textDirection w:val="lrTb"/>
          <w:docGrid w:type="default" w:linePitch="360" w:charSpace="0"/>
        </w:sectPr>
      </w:pPr>
    </w:p>
    <w:p>
      <w:pPr>
        <w:pStyle w:val="Normal"/>
        <w:rPr>
          <w:b/>
          <w:sz w:val="28"/>
        </w:rPr>
      </w:pPr>
      <w:r>
        <w:rPr>
          <w:b/>
          <w:sz w:val="28"/>
        </w:rPr>
        <w:t>Risk Disclosure Statement for Futures and Options</w:t>
      </w:r>
    </w:p>
    <w:p>
      <w:pPr>
        <w:pStyle w:val="Normal"/>
        <w:rPr>
          <w:sz w:val="20"/>
        </w:rPr>
      </w:pPr>
      <w:r>
        <w:rPr>
          <w:sz w:val="20"/>
        </w:rPr>
      </w:r>
    </w:p>
    <w:p>
      <w:pPr>
        <w:pStyle w:val="Normal"/>
        <w:jc w:val="both"/>
        <w:rPr/>
      </w:pPr>
      <w:r>
        <w:rPr>
          <w:sz w:val="20"/>
        </w:rPr>
        <w:t>This brief statement does not disclose all of the risks and other significant aspects of trading in futures and options.  In light of the risks, you should undertake such transactions only if you understand the nature of the contracts (and contractual relationships) into which you are entering and the extent of your exposure to risk.  Trading in futures and options is not suitable for many members of the public.  You should carefully consider whether trading is appropriate for you in light of your experience, objectives, financial resources and other relevant circumstances</w:t>
      </w:r>
      <w:r>
        <w:rPr/>
        <w:t>.</w:t>
      </w:r>
    </w:p>
    <w:p>
      <w:pPr>
        <w:pStyle w:val="Normal"/>
        <w:rPr/>
      </w:pPr>
      <w:r>
        <w:rPr/>
      </w:r>
    </w:p>
    <w:p>
      <w:pPr>
        <w:pStyle w:val="Normal"/>
        <w:rPr>
          <w:sz w:val="28"/>
        </w:rPr>
      </w:pPr>
      <w:r>
        <w:rPr>
          <w:b/>
          <w:sz w:val="28"/>
        </w:rPr>
        <w:t>Futures</w:t>
      </w:r>
    </w:p>
    <w:p>
      <w:pPr>
        <w:pStyle w:val="Normal"/>
        <w:rPr>
          <w:sz w:val="20"/>
        </w:rPr>
      </w:pPr>
      <w:r>
        <w:rPr>
          <w:sz w:val="20"/>
        </w:rPr>
      </w:r>
    </w:p>
    <w:p>
      <w:pPr>
        <w:pStyle w:val="Normal"/>
        <w:rPr>
          <w:sz w:val="20"/>
        </w:rPr>
      </w:pPr>
      <w:r>
        <w:rPr>
          <w:sz w:val="20"/>
        </w:rPr>
        <w:t>1.  Effect of 'Leverage' or 'Gearing'</w:t>
      </w:r>
    </w:p>
    <w:p>
      <w:pPr>
        <w:pStyle w:val="Normal"/>
        <w:rPr>
          <w:sz w:val="20"/>
        </w:rPr>
      </w:pPr>
      <w:r>
        <w:rPr>
          <w:sz w:val="20"/>
        </w:rPr>
      </w:r>
    </w:p>
    <w:p>
      <w:pPr>
        <w:pStyle w:val="BodyText"/>
        <w:rPr/>
      </w:pPr>
      <w:r>
        <w:rPr/>
        <w:t>Transactions in futures carry a high degree of risk.  The amount of initial margin is small relative to the value of the futures contract so that transactions are 'leveraged' or 'geared'.  A relatively small market movement will have a proportionately larger impact on the funds you have deposited or will have to deposit:  this may work against you as well as for you.  You may sustain a total loss of initial margin funds and any additional funds deposited with the firm to maintain your position.  If the market moves against your position or margin levels are increased, you may be called upon to pay substantial additional funds on short notice to maintain your position.  If you fail to comply with a request for additional funds within the time prescribed, your position may be liquidated at a loss and you will be liable for any resulting deficit.</w:t>
      </w:r>
    </w:p>
    <w:p>
      <w:pPr>
        <w:pStyle w:val="Normal"/>
        <w:rPr>
          <w:sz w:val="20"/>
        </w:rPr>
      </w:pPr>
      <w:r>
        <w:rPr>
          <w:sz w:val="20"/>
        </w:rPr>
      </w:r>
    </w:p>
    <w:p>
      <w:pPr>
        <w:pStyle w:val="Normal"/>
        <w:rPr>
          <w:sz w:val="20"/>
        </w:rPr>
      </w:pPr>
      <w:r>
        <w:rPr>
          <w:sz w:val="20"/>
        </w:rPr>
        <w:t>2.  Risk-reducing orders or strategies</w:t>
      </w:r>
    </w:p>
    <w:p>
      <w:pPr>
        <w:pStyle w:val="Normal"/>
        <w:rPr>
          <w:sz w:val="20"/>
        </w:rPr>
      </w:pPr>
      <w:r>
        <w:rPr>
          <w:sz w:val="20"/>
        </w:rPr>
      </w:r>
    </w:p>
    <w:p>
      <w:pPr>
        <w:pStyle w:val="BodyText"/>
        <w:rPr/>
      </w:pPr>
      <w:r>
        <w:rPr/>
        <w:t>The placing of certain orders (e.g. 'stop-loss' orders, where permitted under local law, or 'stop limit' orders) which are intended to limit losses to certain amounts may not be effective because market conditions may make it impossible to execute such orders.  Strategies using combinations of positions, such as 'spread' and 'straddle' positions may be as risky as taking simple 'long' or 'short' positions.</w:t>
      </w:r>
    </w:p>
    <w:p>
      <w:pPr>
        <w:pStyle w:val="Normal"/>
        <w:rPr>
          <w:sz w:val="20"/>
        </w:rPr>
      </w:pPr>
      <w:r>
        <w:rPr>
          <w:sz w:val="20"/>
        </w:rPr>
      </w:r>
    </w:p>
    <w:p>
      <w:pPr>
        <w:pStyle w:val="Normal"/>
        <w:rPr>
          <w:b/>
          <w:sz w:val="28"/>
        </w:rPr>
      </w:pPr>
      <w:r>
        <w:rPr>
          <w:b/>
          <w:sz w:val="28"/>
        </w:rPr>
        <w:t>Options</w:t>
      </w:r>
    </w:p>
    <w:p>
      <w:pPr>
        <w:pStyle w:val="Normal"/>
        <w:rPr>
          <w:b/>
          <w:sz w:val="20"/>
        </w:rPr>
      </w:pPr>
      <w:r>
        <w:rPr>
          <w:b/>
          <w:sz w:val="20"/>
        </w:rPr>
      </w:r>
    </w:p>
    <w:p>
      <w:pPr>
        <w:pStyle w:val="Normal"/>
        <w:rPr>
          <w:sz w:val="20"/>
        </w:rPr>
      </w:pPr>
      <w:r>
        <w:rPr>
          <w:sz w:val="20"/>
        </w:rPr>
        <w:t>3.  Variable degree of risk</w:t>
      </w:r>
    </w:p>
    <w:p>
      <w:pPr>
        <w:pStyle w:val="Normal"/>
        <w:rPr>
          <w:sz w:val="20"/>
        </w:rPr>
      </w:pPr>
      <w:r>
        <w:rPr>
          <w:sz w:val="20"/>
        </w:rPr>
      </w:r>
    </w:p>
    <w:p>
      <w:pPr>
        <w:pStyle w:val="Normal"/>
        <w:jc w:val="both"/>
        <w:rPr>
          <w:sz w:val="20"/>
        </w:rPr>
      </w:pPr>
      <w:r>
        <w:rPr>
          <w:sz w:val="20"/>
        </w:rPr>
        <w:t>Transactions in options carry a high degree of risk.  Purchasers and sellers of options should familiarize themselves with the type of option (i.e. put or call) which they contemplate trading and the associated risks.  You should calculate the extent to which the value  of the options must increase for your position to become profitable, taking into account the premium and all transaction costs.</w:t>
      </w:r>
    </w:p>
    <w:p>
      <w:pPr>
        <w:pStyle w:val="Normal"/>
        <w:jc w:val="both"/>
        <w:rPr>
          <w:sz w:val="20"/>
        </w:rPr>
      </w:pPr>
      <w:r>
        <w:rPr>
          <w:sz w:val="20"/>
        </w:rPr>
      </w:r>
    </w:p>
    <w:p>
      <w:pPr>
        <w:pStyle w:val="BodyText"/>
        <w:rPr/>
      </w:pPr>
      <w:r>
        <w:rPr/>
        <w:t>The purchaser of options may offset or exercise the options or allow the options to expire.  The exercise of an option results either in a cash settlement or in the purchaser acquiring or delivering the underlying interest.  If the option is on a future, the purchaser will acquire a futures position with associated liabilities for margin (see the section on Futures above).  If the purchased options expire worthless, you will suffer a total loss of your investment which will consist of the option premium plus transaction costs.  If you are contemplating purchasing a deep-out-of-the-money options, you should be aware that the chance of such options becoming profitable ordinarily is remote.</w:t>
      </w:r>
    </w:p>
    <w:p>
      <w:pPr>
        <w:pStyle w:val="Normal"/>
        <w:jc w:val="both"/>
        <w:rPr>
          <w:sz w:val="20"/>
        </w:rPr>
      </w:pPr>
      <w:r>
        <w:rPr>
          <w:sz w:val="20"/>
        </w:rPr>
      </w:r>
    </w:p>
    <w:p>
      <w:pPr>
        <w:pStyle w:val="Normal"/>
        <w:jc w:val="both"/>
        <w:rPr>
          <w:sz w:val="20"/>
        </w:rPr>
      </w:pPr>
      <w:r>
        <w:rPr>
          <w:sz w:val="20"/>
        </w:rPr>
        <w:t>Selling ('writing' or 'granting') an option generally entails considerably greater risk than purchasing options.  Although the premium received by the seller is fixed, the seller may sustain a loss well in excess of that amount.  The seller will be liable for additional margin to maintain the position if the market moves unfavorably.  The seller will also be exposed to the risk of the purchaser exercising the option and the seller will be obligated to either settle the option in cash or to acquire or deliver the underlying interest.  If the option is on a future, the seller will acquire a position in a future with associated liabilities for margin (see the section on Futures above).  If the option is 'covered' by the seller holding a corresponding position in the underlying interest or a future or another option, the risk may be reduced.  If the option is not covered, the risk of loss can be unlimited.</w:t>
      </w:r>
    </w:p>
    <w:p>
      <w:pPr>
        <w:pStyle w:val="Normal"/>
        <w:rPr>
          <w:sz w:val="20"/>
        </w:rPr>
      </w:pPr>
      <w:r>
        <w:rPr>
          <w:sz w:val="20"/>
        </w:rPr>
      </w:r>
    </w:p>
    <w:p>
      <w:pPr>
        <w:pStyle w:val="BodyText"/>
        <w:rPr/>
      </w:pPr>
      <w:r>
        <w:rPr/>
        <w:t>Certain exchanges in some jurisdictions permit deferred payment of the option premium, exposing the purchaser to liability for margin payments not exceeding the amount of the premium.  The purchaser is still subject to the risk of losing the premium and transaction costs.  When the option is exercised or expires, the purchaser is responsible for any unpaid premium outstanding at that time.</w:t>
      </w:r>
    </w:p>
    <w:p>
      <w:pPr>
        <w:pStyle w:val="Normal"/>
        <w:rPr>
          <w:sz w:val="20"/>
        </w:rPr>
      </w:pPr>
      <w:r>
        <w:rPr>
          <w:sz w:val="20"/>
        </w:rPr>
      </w:r>
    </w:p>
    <w:p>
      <w:pPr>
        <w:pStyle w:val="Normal"/>
        <w:rPr>
          <w:sz w:val="20"/>
        </w:rPr>
      </w:pPr>
      <w:r>
        <w:rPr>
          <w:b/>
          <w:sz w:val="28"/>
        </w:rPr>
        <w:t>Additional risks common to futures and options</w:t>
      </w:r>
    </w:p>
    <w:p>
      <w:pPr>
        <w:pStyle w:val="Normal"/>
        <w:rPr>
          <w:sz w:val="20"/>
        </w:rPr>
      </w:pPr>
      <w:r>
        <w:rPr>
          <w:sz w:val="20"/>
        </w:rPr>
      </w:r>
    </w:p>
    <w:p>
      <w:pPr>
        <w:pStyle w:val="Normal"/>
        <w:rPr>
          <w:sz w:val="20"/>
        </w:rPr>
      </w:pPr>
      <w:r>
        <w:rPr>
          <w:sz w:val="20"/>
        </w:rPr>
        <w:t>4.  Terms and conditions of contracts</w:t>
      </w:r>
    </w:p>
    <w:p>
      <w:pPr>
        <w:pStyle w:val="Normal"/>
        <w:rPr>
          <w:sz w:val="20"/>
        </w:rPr>
      </w:pPr>
      <w:r>
        <w:rPr>
          <w:sz w:val="20"/>
        </w:rPr>
      </w:r>
    </w:p>
    <w:p>
      <w:pPr>
        <w:pStyle w:val="BodyText"/>
        <w:rPr/>
      </w:pPr>
      <w:r>
        <w:rPr/>
        <w:t>You should ask the firm with which you deal about the terms and conditions of the specific futures or options which you are trading and associated obligations (e.g. the circumstances under which you may become obligated to make or take delivery of the underlying interest of a futures contract and, in respect of options, expiration dates and restrictions on the time for exercise).  Under certain circumstances the specifications of outstanding contracts (including the exercise price of an option) may be modified by the exchange or clearing house to reflect changes in the underlying interest.</w:t>
      </w:r>
    </w:p>
    <w:p>
      <w:pPr>
        <w:pStyle w:val="Normal"/>
        <w:rPr>
          <w:sz w:val="20"/>
        </w:rPr>
      </w:pPr>
      <w:r>
        <w:rPr>
          <w:sz w:val="20"/>
        </w:rPr>
      </w:r>
    </w:p>
    <w:p>
      <w:pPr>
        <w:pStyle w:val="Normal"/>
        <w:rPr>
          <w:sz w:val="20"/>
        </w:rPr>
      </w:pPr>
      <w:r>
        <w:rPr>
          <w:sz w:val="20"/>
        </w:rPr>
        <w:t>5.  Suspension or restriction of trading and pricing relationships</w:t>
      </w:r>
    </w:p>
    <w:p>
      <w:pPr>
        <w:pStyle w:val="Normal"/>
        <w:rPr>
          <w:sz w:val="20"/>
        </w:rPr>
      </w:pPr>
      <w:r>
        <w:rPr>
          <w:sz w:val="20"/>
        </w:rPr>
      </w:r>
    </w:p>
    <w:p>
      <w:pPr>
        <w:pStyle w:val="Normal"/>
        <w:jc w:val="both"/>
        <w:rPr>
          <w:sz w:val="20"/>
        </w:rPr>
      </w:pPr>
      <w:r>
        <w:rPr>
          <w:sz w:val="20"/>
        </w:rPr>
        <w:t>Market conditions (e.g. illiquidity) and/or the operation of the rules of certain markets (e.g. the suspension of trading in any contract or contract month because of price limits or 'circuit breakers') may increase the risk of loss by making it difficult or impossible to effect transactions or liquidate/offset positions.  If you have sold options, this may increase the risk of loss.</w:t>
      </w:r>
    </w:p>
    <w:p>
      <w:pPr>
        <w:pStyle w:val="Normal"/>
        <w:jc w:val="both"/>
        <w:rPr>
          <w:sz w:val="20"/>
        </w:rPr>
      </w:pPr>
      <w:r>
        <w:rPr>
          <w:sz w:val="20"/>
        </w:rPr>
      </w:r>
    </w:p>
    <w:p>
      <w:pPr>
        <w:pStyle w:val="BodyText"/>
        <w:rPr/>
      </w:pPr>
      <w:r>
        <w:rPr/>
        <w:t>Further, normal pricing relationships between the underlying interest and the future, and the underlying interest and the option may not exist.  This can occur when, for example, the futures contract underlying the option is subject to price limits while the option is not.  The absence of an underlying reference price may make it difficult to judge 'fair' value.</w:t>
      </w:r>
    </w:p>
    <w:p>
      <w:pPr>
        <w:pStyle w:val="Normal"/>
        <w:rPr>
          <w:sz w:val="20"/>
        </w:rPr>
      </w:pPr>
      <w:r>
        <w:rPr>
          <w:sz w:val="20"/>
        </w:rPr>
      </w:r>
    </w:p>
    <w:p>
      <w:pPr>
        <w:pStyle w:val="Normal"/>
        <w:rPr>
          <w:sz w:val="20"/>
        </w:rPr>
      </w:pPr>
      <w:r>
        <w:rPr>
          <w:sz w:val="20"/>
        </w:rPr>
        <w:t>6.  Deposited cash and property</w:t>
      </w:r>
    </w:p>
    <w:p>
      <w:pPr>
        <w:pStyle w:val="Normal"/>
        <w:jc w:val="both"/>
        <w:rPr>
          <w:sz w:val="20"/>
        </w:rPr>
      </w:pPr>
      <w:r>
        <w:rPr>
          <w:sz w:val="20"/>
        </w:rPr>
      </w:r>
    </w:p>
    <w:p>
      <w:pPr>
        <w:pStyle w:val="Normal"/>
        <w:jc w:val="both"/>
        <w:rPr>
          <w:sz w:val="20"/>
        </w:rPr>
      </w:pPr>
      <w:r>
        <w:rPr>
          <w:sz w:val="20"/>
        </w:rPr>
        <w:t>You should familiarize yourself with the protections accorded money or other property you deposit for domestic and foreign transactions, particularly in the event of a firm insolvency or bankruptcy.  The extent to which you may recover your money or property may be governed by specific legislation or local rules.  In some jurisdictions, property which had been specifically identifiable as your own will be pro-rated in the same manner as cash for purposes of distribution in the event of a shortfall.</w:t>
      </w:r>
    </w:p>
    <w:p>
      <w:pPr>
        <w:pStyle w:val="Normal"/>
        <w:rPr>
          <w:sz w:val="20"/>
        </w:rPr>
      </w:pPr>
      <w:r>
        <w:rPr>
          <w:sz w:val="20"/>
        </w:rPr>
      </w:r>
    </w:p>
    <w:p>
      <w:pPr>
        <w:pStyle w:val="Normal"/>
        <w:rPr>
          <w:sz w:val="20"/>
        </w:rPr>
      </w:pPr>
      <w:r>
        <w:rPr>
          <w:sz w:val="20"/>
        </w:rPr>
        <w:t>7.  Commission and other charges</w:t>
      </w:r>
    </w:p>
    <w:p>
      <w:pPr>
        <w:pStyle w:val="FootnoteText"/>
        <w:rPr>
          <w:sz w:val="20"/>
        </w:rPr>
      </w:pPr>
      <w:r>
        <w:rPr>
          <w:sz w:val="20"/>
        </w:rPr>
      </w:r>
    </w:p>
    <w:p>
      <w:pPr>
        <w:pStyle w:val="Normal"/>
        <w:jc w:val="both"/>
        <w:rPr>
          <w:sz w:val="20"/>
        </w:rPr>
      </w:pPr>
      <w:r>
        <w:rPr>
          <w:sz w:val="20"/>
        </w:rPr>
        <w:t>Before you begin to trade, you should obtain a clear explanation of all commission, fees and other charges for which you will be liable.  These charges will affect your net profit (if any) or increase your loss.</w:t>
      </w:r>
    </w:p>
    <w:p>
      <w:pPr>
        <w:pStyle w:val="Normal"/>
        <w:jc w:val="both"/>
        <w:rPr>
          <w:sz w:val="20"/>
        </w:rPr>
      </w:pPr>
      <w:r>
        <w:rPr>
          <w:sz w:val="20"/>
        </w:rPr>
      </w:r>
    </w:p>
    <w:p>
      <w:pPr>
        <w:pStyle w:val="Normal"/>
        <w:rPr>
          <w:sz w:val="20"/>
        </w:rPr>
      </w:pPr>
      <w:r>
        <w:rPr>
          <w:sz w:val="20"/>
        </w:rPr>
        <w:t>8.  Transactions in other jurisdictions</w:t>
      </w:r>
    </w:p>
    <w:p>
      <w:pPr>
        <w:pStyle w:val="FootnoteText"/>
        <w:rPr>
          <w:sz w:val="20"/>
        </w:rPr>
      </w:pPr>
      <w:r>
        <w:rPr>
          <w:sz w:val="20"/>
        </w:rPr>
      </w:r>
    </w:p>
    <w:p>
      <w:pPr>
        <w:pStyle w:val="BodyText"/>
        <w:rPr/>
      </w:pPr>
      <w:r>
        <w:rPr/>
        <w:t>Transactions on markets in other jurisdictions, including markets formally linked to a domestic market, may expose you to additional risk.  Such markets may be subject to regulation which may offer different or diminished investor protection.  Before you trade you should inquire about any rules relevant to your particular transactions.  Your local regulatory authority will be unable to compel the enforcement of the rules of regulatory authorities or markets in other jurisdictions where your transactions have been effected.  You should ask the firm with which you deal for details about the types of redress available in both your home jurisdiction and other relevant jurisdictions before you start to trade.</w:t>
      </w:r>
    </w:p>
    <w:p>
      <w:pPr>
        <w:pStyle w:val="Normal"/>
        <w:rPr>
          <w:sz w:val="20"/>
        </w:rPr>
      </w:pPr>
      <w:r>
        <w:rPr>
          <w:sz w:val="20"/>
        </w:rPr>
      </w:r>
    </w:p>
    <w:p>
      <w:pPr>
        <w:pStyle w:val="Normal"/>
        <w:rPr>
          <w:sz w:val="20"/>
        </w:rPr>
      </w:pPr>
      <w:r>
        <w:rPr>
          <w:sz w:val="20"/>
        </w:rPr>
        <w:t>9.  Currency risks</w:t>
      </w:r>
    </w:p>
    <w:p>
      <w:pPr>
        <w:pStyle w:val="Normal"/>
        <w:rPr>
          <w:sz w:val="20"/>
        </w:rPr>
      </w:pPr>
      <w:r>
        <w:rPr>
          <w:sz w:val="20"/>
        </w:rPr>
      </w:r>
    </w:p>
    <w:p>
      <w:pPr>
        <w:pStyle w:val="Normal"/>
        <w:rPr>
          <w:sz w:val="20"/>
        </w:rPr>
      </w:pPr>
      <w:r>
        <w:rPr>
          <w:sz w:val="20"/>
        </w:rPr>
        <w:t>The profit or loss in transactions in foreign currency-denominated contracts (whether they are traded in your own or another jurisdiction) will be affected by fluctuations in currency rates where there is a need to convert from the currency denomination of the contract to another currency.</w:t>
      </w:r>
    </w:p>
    <w:p>
      <w:pPr>
        <w:pStyle w:val="Normal"/>
        <w:rPr>
          <w:sz w:val="20"/>
        </w:rPr>
      </w:pPr>
      <w:r>
        <w:rPr>
          <w:sz w:val="20"/>
        </w:rPr>
      </w:r>
    </w:p>
    <w:p>
      <w:pPr>
        <w:pStyle w:val="Normal"/>
        <w:rPr>
          <w:sz w:val="20"/>
        </w:rPr>
      </w:pPr>
      <w:r>
        <w:rPr>
          <w:sz w:val="20"/>
        </w:rPr>
        <w:t>10.  Trading facilities</w:t>
      </w:r>
    </w:p>
    <w:p>
      <w:pPr>
        <w:pStyle w:val="Normal"/>
        <w:rPr>
          <w:sz w:val="20"/>
        </w:rPr>
      </w:pPr>
      <w:r>
        <w:rPr>
          <w:sz w:val="20"/>
        </w:rPr>
      </w:r>
    </w:p>
    <w:p>
      <w:pPr>
        <w:pStyle w:val="BodyText"/>
        <w:rPr/>
      </w:pPr>
      <w:r>
        <w:rPr/>
        <w:t>Most open-outcry and electronic trading facilities are supported by computer-based component systems for the order-routing, execution, matching, registration or clearing of trades.  As with all facilities and systems, they are vulnerable to temporary disruption or failure.  Your ability to recover certain losses may be subject to limits on liability imposed by the system provider, the market, the clearing house and/or member firms.  Such limits may vary:  you should ask the firm with which you deal for details in this respect.</w:t>
      </w:r>
    </w:p>
    <w:p>
      <w:pPr>
        <w:pStyle w:val="Normal"/>
        <w:rPr>
          <w:sz w:val="20"/>
        </w:rPr>
      </w:pPr>
      <w:r>
        <w:rPr>
          <w:sz w:val="20"/>
        </w:rPr>
      </w:r>
    </w:p>
    <w:p>
      <w:pPr>
        <w:pStyle w:val="Normal"/>
        <w:rPr>
          <w:sz w:val="20"/>
        </w:rPr>
      </w:pPr>
      <w:r>
        <w:rPr>
          <w:sz w:val="20"/>
        </w:rPr>
        <w:t>11.  Electronic trading</w:t>
      </w:r>
    </w:p>
    <w:p>
      <w:pPr>
        <w:pStyle w:val="Normal"/>
        <w:rPr>
          <w:sz w:val="20"/>
        </w:rPr>
      </w:pPr>
      <w:r>
        <w:rPr>
          <w:sz w:val="20"/>
        </w:rPr>
      </w:r>
    </w:p>
    <w:p>
      <w:pPr>
        <w:pStyle w:val="BodyText"/>
        <w:rPr/>
      </w:pPr>
      <w:r>
        <w:rPr/>
        <w:t>Trading on the electronic trading system may differ not only from trading in an open-outcry market but also from trading on other electronic trading systems.  If you undertake transactions on an electronic trading system, you will be exposed to risks associated with the system including the failure of hardware and software.  The result of any system failure may be that your order is either not executed according to your instructions or is not executed at all.</w:t>
      </w:r>
    </w:p>
    <w:p>
      <w:pPr>
        <w:pStyle w:val="Normal"/>
        <w:rPr>
          <w:sz w:val="20"/>
        </w:rPr>
      </w:pPr>
      <w:r>
        <w:rPr>
          <w:sz w:val="20"/>
        </w:rPr>
      </w:r>
    </w:p>
    <w:p>
      <w:pPr>
        <w:pStyle w:val="Normal"/>
        <w:rPr>
          <w:sz w:val="20"/>
        </w:rPr>
      </w:pPr>
      <w:r>
        <w:rPr>
          <w:sz w:val="20"/>
        </w:rPr>
        <w:t>12.  Off-exchange transactions</w:t>
      </w:r>
    </w:p>
    <w:p>
      <w:pPr>
        <w:pStyle w:val="Normal"/>
        <w:rPr>
          <w:sz w:val="20"/>
        </w:rPr>
      </w:pPr>
      <w:r>
        <w:rPr>
          <w:sz w:val="20"/>
        </w:rPr>
      </w:r>
    </w:p>
    <w:p>
      <w:pPr>
        <w:pStyle w:val="Normal"/>
        <w:jc w:val="both"/>
        <w:rPr>
          <w:sz w:val="20"/>
        </w:rPr>
      </w:pPr>
      <w:r>
        <w:rPr>
          <w:sz w:val="20"/>
        </w:rPr>
        <w:t>In some jurisdictions, and only then in restricted circumstances, firms are permitted to effect off-exchange transactions.  The firm with which you deal may be acting as your counterparty to the transaction.  It may be difficult or impossible to liquidate an existing position, to assess the value, to determine a fair price or to assess the exposure to risk.  For these reasons, these transactions may involve increased risks.  Off-exchange transactions may be less regulated or subject to a separate regulatory regime.  Before you undertake such transactions, you should familiarize yourself with applicable rules and attendant risks.</w:t>
      </w:r>
      <w:r>
        <w:br w:type="page"/>
      </w:r>
    </w:p>
    <w:p>
      <w:pPr>
        <w:pStyle w:val="Normal"/>
        <w:jc w:val="both"/>
        <w:rPr>
          <w:sz w:val="28"/>
        </w:rPr>
      </w:pPr>
      <w:r>
        <w:rPr>
          <w:b/>
          <w:sz w:val="28"/>
        </w:rPr>
        <w:t>Direct Order Transmittal Client Disclosure Statement</w:t>
      </w:r>
    </w:p>
    <w:p>
      <w:pPr>
        <w:pStyle w:val="Normal"/>
        <w:rPr>
          <w:sz w:val="28"/>
        </w:rPr>
      </w:pPr>
      <w:r>
        <w:rPr>
          <w:sz w:val="28"/>
        </w:rPr>
      </w:r>
    </w:p>
    <w:p>
      <w:pPr>
        <w:pStyle w:val="Normal"/>
        <w:jc w:val="both"/>
        <w:rPr/>
      </w:pPr>
      <w:r>
        <w:rPr>
          <w:sz w:val="20"/>
        </w:rPr>
        <w:t>This statement applies to the ability of authorized clients</w:t>
      </w:r>
      <w:r>
        <w:rPr>
          <w:sz w:val="20"/>
          <w:vertAlign w:val="superscript"/>
        </w:rPr>
        <w:t>1</w:t>
      </w:r>
      <w:r>
        <w:rPr>
          <w:sz w:val="20"/>
        </w:rPr>
        <w:t xml:space="preserve"> of J.P. Morgan Futures Inc (“JPMFI”) to place orders for foreign futures and options transactions directly with non-US entities (each, an “Executing Firm”) that execute transactions on behalf of JPMFI’s foreign futures and options customer omnibus accounts.</w:t>
      </w:r>
    </w:p>
    <w:p>
      <w:pPr>
        <w:pStyle w:val="Normal"/>
        <w:rPr>
          <w:sz w:val="20"/>
        </w:rPr>
      </w:pPr>
      <w:r>
        <w:rPr>
          <w:sz w:val="20"/>
        </w:rPr>
      </w:r>
    </w:p>
    <w:p>
      <w:pPr>
        <w:pStyle w:val="Normal"/>
        <w:rPr>
          <w:sz w:val="20"/>
        </w:rPr>
      </w:pPr>
      <w:r>
        <w:rPr>
          <w:sz w:val="20"/>
        </w:rPr>
        <w:t>Please be aware of the following should you be permitted to place the type of orders specified above:</w:t>
      </w:r>
    </w:p>
    <w:p>
      <w:pPr>
        <w:pStyle w:val="Normal"/>
        <w:rPr>
          <w:sz w:val="20"/>
        </w:rPr>
      </w:pPr>
      <w:r>
        <w:rPr>
          <w:sz w:val="20"/>
        </w:rPr>
      </w:r>
    </w:p>
    <w:p>
      <w:pPr>
        <w:pStyle w:val="Normal"/>
        <w:ind w:hanging="360" w:start="360" w:end="0"/>
        <w:jc w:val="both"/>
        <w:rPr>
          <w:sz w:val="20"/>
        </w:rPr>
      </w:pPr>
      <w:r>
        <w:rPr>
          <w:sz w:val="20"/>
        </w:rPr>
        <w:t>1.</w:t>
        <w:tab/>
        <w:t>The orders you place with an Executing Firm are for JPMFI’s foreign futures and options customer account maintained with a foreign clearing firm.  Consequently, JPMFI may limit or otherwise condition the orders you place with the Executing Firm.</w:t>
      </w:r>
    </w:p>
    <w:p>
      <w:pPr>
        <w:pStyle w:val="Normal"/>
        <w:rPr>
          <w:sz w:val="20"/>
        </w:rPr>
      </w:pPr>
      <w:r>
        <w:rPr>
          <w:sz w:val="20"/>
        </w:rPr>
      </w:r>
    </w:p>
    <w:p>
      <w:pPr>
        <w:pStyle w:val="Normal"/>
        <w:ind w:hanging="360" w:start="360" w:end="0"/>
        <w:jc w:val="both"/>
        <w:rPr>
          <w:sz w:val="20"/>
        </w:rPr>
      </w:pPr>
      <w:r>
        <w:rPr>
          <w:sz w:val="20"/>
        </w:rPr>
        <w:t>2.</w:t>
        <w:tab/>
        <w:t>You should be aware of the relationship of the Executing Firm and JPMFI.  JPMFI may not be responsible for the acts, omissions, or errors of the Executing Firm, or its representatives, with which you place your orders.  In addition, the Executing Firm may not be affiliated with JPMFI.  If you choose to place orders directly with an Executing Firm, you may be doing so at your own risk.</w:t>
      </w:r>
    </w:p>
    <w:p>
      <w:pPr>
        <w:pStyle w:val="Normal"/>
        <w:ind w:hanging="360" w:start="360" w:end="0"/>
        <w:rPr>
          <w:sz w:val="20"/>
        </w:rPr>
      </w:pPr>
      <w:r>
        <w:rPr>
          <w:sz w:val="20"/>
        </w:rPr>
      </w:r>
    </w:p>
    <w:p>
      <w:pPr>
        <w:pStyle w:val="Normal"/>
        <w:ind w:hanging="360" w:start="360" w:end="0"/>
        <w:jc w:val="both"/>
        <w:rPr>
          <w:sz w:val="20"/>
        </w:rPr>
      </w:pPr>
      <w:r>
        <w:rPr>
          <w:sz w:val="20"/>
        </w:rPr>
        <w:t>3.</w:t>
        <w:tab/>
        <w:t>It is your responsibility to inquire about the applicable laws and regulations that govern the foreign exchanges on which transactions will be executed on your behalf.  Any orders placed by you for execution on that exchange will be subject to such rules and regulations, its customs and usages, as well as any local laws that may govern transactions on that exchange.  These laws, rules, regulations, customs and usages may offer different or diminished protection from those that govern transactions on US exchanges.  In particular, funds received from customer to margin foreign futures transactions may not be provided the same protections as funds received to margin futures transactions on domestic exchanges.  Before you trade, you should familiarize yourself with the foreign rules which will apply to your particular transaction.  United States regulatory authorities may be unable to compel the enforcement of the rules of regulatory authorities or markets in non-US jurisdictions where transactions may be effected.</w:t>
      </w:r>
    </w:p>
    <w:p>
      <w:pPr>
        <w:pStyle w:val="FootnoteText"/>
        <w:rPr>
          <w:sz w:val="20"/>
        </w:rPr>
      </w:pPr>
      <w:r>
        <w:rPr>
          <w:sz w:val="20"/>
        </w:rPr>
      </w:r>
    </w:p>
    <w:p>
      <w:pPr>
        <w:pStyle w:val="Normal"/>
        <w:numPr>
          <w:ilvl w:val="0"/>
          <w:numId w:val="5"/>
        </w:numPr>
        <w:jc w:val="both"/>
        <w:rPr>
          <w:sz w:val="20"/>
        </w:rPr>
      </w:pPr>
      <w:r>
        <w:rPr>
          <w:sz w:val="20"/>
        </w:rPr>
        <w:t>It is your responsibility to determine whether the Executing Firm has consented to the jurisdiction of the courts in the United States.  In general, neither the Executing Firm nor any individuals associated with the Executing Firm will be registered in any capacity with the Commodity Futures Trading Commission.  Similarly, your contacts with the Executing Firm may not be sufficient to subject the Executing Firm to the jurisdiction of courts in the United States in the absence of the Executing Firm’s consent.  Accordingly, neither the courts of the United States nor the Commission’s reparations program may be available as a forum resolution of any disagreements you may have with the Executing Firm, and your recourse may be limited to actions outside the United States.</w:t>
      </w:r>
    </w:p>
    <w:p>
      <w:pPr>
        <w:pStyle w:val="Normal"/>
        <w:jc w:val="both"/>
        <w:rPr>
          <w:sz w:val="20"/>
        </w:rPr>
      </w:pPr>
      <w:r>
        <w:rPr>
          <w:sz w:val="20"/>
        </w:rPr>
      </w:r>
    </w:p>
    <w:p>
      <w:pPr>
        <w:pStyle w:val="Normal"/>
        <w:numPr>
          <w:ilvl w:val="0"/>
          <w:numId w:val="5"/>
        </w:numPr>
        <w:jc w:val="both"/>
        <w:rPr>
          <w:sz w:val="20"/>
        </w:rPr>
      </w:pPr>
      <w:r>
        <w:rPr>
          <w:sz w:val="20"/>
        </w:rPr>
        <w:t xml:space="preserve">Unless you object within five (5) days, by giving notice as provided in your customer agreement after receipt of this disclosure, JPMFI will assume your consent to the aforementioned conditions.  </w:t>
      </w:r>
    </w:p>
    <w:p>
      <w:pPr>
        <w:pStyle w:val="Normal"/>
        <w:ind w:hanging="360" w:end="0"/>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The above information is being furnished to you in accordance with requirements of the Commodity Futures Trading Commission.</w:t>
      </w:r>
    </w:p>
    <w:p>
      <w:pPr>
        <w:pStyle w:val="Normal"/>
        <w:rPr>
          <w:sz w:val="20"/>
        </w:rPr>
      </w:pPr>
      <w:r>
        <w:rPr>
          <w:sz w:val="20"/>
        </w:rPr>
        <w:t xml:space="preserve"> </w:t>
      </w:r>
    </w:p>
    <w:p>
      <w:pPr>
        <w:pStyle w:val="Normal"/>
        <w:pBdr>
          <w:bottom w:val="single" w:sz="4" w:space="1" w:color="000000"/>
        </w:pBdr>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6"/>
        </w:rPr>
      </w:pPr>
      <w:r>
        <w:rPr>
          <w:b/>
          <w:sz w:val="26"/>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18"/>
        </w:rPr>
      </w:pPr>
      <w:r>
        <w:rPr>
          <w:sz w:val="18"/>
        </w:rPr>
        <w:t>1  You should contact your account executive regarding your eligibility to participate in the direct order transmittal process.</w:t>
      </w:r>
      <w:r>
        <w:br w:type="page"/>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6"/>
        </w:rPr>
      </w:pPr>
      <w:r>
        <w:rPr>
          <w:b/>
          <w:sz w:val="26"/>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6"/>
        </w:rPr>
      </w:pPr>
      <w:r>
        <w:rPr>
          <w:b/>
          <w:sz w:val="26"/>
        </w:rPr>
        <w:t xml:space="preserve">Chicago Mercantile Exchange ("CME") and </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b/>
          <w:sz w:val="26"/>
        </w:rPr>
        <w:t>Chicago Board of Trade ("CBOT") - Average Price System ("APS")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APS will enable Morgan Futures to confirm to clients an average price when multiple prices are received on a CME or CBOT order or series of orders for the same accounts.  For example, if an order transmitted by an account manager on behalf of several clients is executed at more than one price, those prices may be averaged and the average may be confirmed to each client.  Clients may chose whether to use APS, and may request that APS be used for discretionary or non-discretionary accounts.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An order subject to APS must be for the same commodity.  An APS order may be used for futures, options or combination transactions.  An APS order for futures must be for the same commodity and month, and for options, it must be for the same commodity, month, put/call and strike.  The CME or Board of Trade Clearing Corporation computes the average by multiplying the price by the quantity executed at each price divided by the total quantity.</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An APS indicator will appear on the confirmation and monthly statement for a client whose positions have been confirmed at an average price.  This indicator will notify the client that the confirmed price represents an average price or rounded average price.</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The average price is not the actual execution price.  APS will calculate the same price for all clients that participate in the order.</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APS may be used when a series of orders are entered for a group of accounts:  For example, a bunched APS order (an order that represents more than one client account) executed at 10:00 a.m. could be averaged with a bunched APS order executed at 12:00 p.m. provided that each of the bunched orders is for the identical accounts.  In addition, market orders and limit orders may be averaged, as may limit orders at different prices, provided that each order is for the identical accounts.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The following scenario exemplifies what occurs if an APS order is only partially executed.  At 10:00 a.m. an APS order to buy 100 Dec S &amp; P 500 futures contracts is transmitted at a limit price of 376.00; 50 are executed at 376.00, and the balance is not filled.  At 12:00 p.m. an APS order to buy 100 Dec S &amp; P 500 futures contracts is transmitted at a limit price of 375.00; 50 are executed at 375.00, and the balance is not filled.  Both orders are part of a series for the same group of accounts.  In this example, the two prices will be averaged.  If the order was placed for more than one account, the account controller must rely on pre-existing allocation procedures to determine the proportions in which each account will share in the partial fill.</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Morgan Futures may confirm the actual average price or the average price rounded to the next price increment.  If Morgan Futures confirms the rounded average price, it must round the average price up to the next price increment for a sell order.  The rounding process will create a cash residual of the difference between the actual average price and the rounded average price that must be paid to the client.</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The actual average or the residual may result in a price that does not conform to a whole cent increment.  In such cases, any amount less than one cent may be retained by Morgan Futures.  For example, if the total residual to be paid to a client on a rounded average price for 10 contracts is $83.333333, Morgan Futures may pay $83.33 to the client.</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6"/>
          <w:u w:val="single"/>
        </w:rPr>
      </w:pPr>
      <w:r>
        <w:rPr>
          <w:sz w:val="20"/>
        </w:rPr>
        <w:t>A client will be able to obtain information regarding the actual execution prices of a trade that has been confirmed at an average price by contacting Morgan Futures.  If Morgan Futures did not execute the trade, it will contact the executing firm to obtain the information</w:t>
      </w:r>
      <w:r>
        <w:br w:type="page"/>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6"/>
          <w:u w:val="single"/>
        </w:rPr>
        <w:t>ELECTRONIC TRADING AND ORDER ROUTING SYSTEMS DISCLOSURE STATEMENT*</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r>
    </w:p>
    <w:p>
      <w:pPr>
        <w:pStyle w:val="BodyText2"/>
        <w:jc w:val="both"/>
        <w:rPr/>
      </w:pPr>
      <w:r>
        <w:rPr/>
        <w:t>Electronic trading and order routing systems differ from traditional open outcry pit trading and manual order routing methods.  Transactions using an electronic system are subject to the rules and regulations of the exchange(s) offering the system and/or listing the contract.  Before you engage in transactions using an electronic system, you should carefully review the rules and regulations of the exchange(s) offering the system and/or listing contracts you intend to trade.</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t>DIFFERENCES AMONG ELECTRONIC TRADING SYSTEMS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r>
    </w:p>
    <w:p>
      <w:pPr>
        <w:pStyle w:val="BodyText"/>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pPr>
      <w:r>
        <w:rPr/>
        <w:t>Trading or routing orders through electronic systems varies widely among the different electronic systems.  You should consult the rules and regulations of the exchange offering the electronic system and/or listing the contract traded or order routed to understand, among other things, in the case of trading systems, the system’s order matching procedure, opening and closing procedures and prices, error trade policies, and trading limitations or requirements; and in the case of all systems, qualifications for access and grounds for termination and limitations on the types of orders that may be entered into the system.  Each of these matters may present different risk factors with respect to trading on or using a particular system.  Each system may also present risks related to system access, varying response times, and security.  In the case of internet-based systems, there may be additional types of risks related to system access, varying response times and security, as well as risks related to service providers and the receipt and monitoring of electronic mail.</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t>RISKS ASSOCIATED WITH SYSTEM FAILURE</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r>
    </w:p>
    <w:p>
      <w:pPr>
        <w:pStyle w:val="BodyText2"/>
        <w:jc w:val="both"/>
        <w:rPr/>
      </w:pPr>
      <w:r>
        <w:rPr/>
        <w:t>Trading through an electronic trading or order routing system exposes you to risks associated with system or component failure.  In the event of system or component failure, it is possible that, for a certain time period, you may not be able to enter new orders, execute existing orders, or modify or cancel orders that were previously entered.  System or component failure may also result in loss of orders or order priority.</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t>SIMULTANEOUS OPEN OUTCRY PIT AND ELECTRONIC TRADING</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r>
    </w:p>
    <w:p>
      <w:pPr>
        <w:pStyle w:val="BodyText"/>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pPr>
      <w:r>
        <w:rPr/>
        <w:t>Some contracts offered on an electronic trading system may be traded electronically and through open outcry during the same trading hours.  You should review the rules and regulations of the exchange offering the system and/or listing the contract to determine how orders that do not designate a particular process will be executed.</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t>LIMITATION OF LIABILITY</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t>Exchanges offering an electronic trading or order routing system and/or listing the contract may have adopted rules to limit their liability, the liability of FCMs, and software and communication system vendors and the amount of damages you may collect for system failure and delays.  These limitations of liability provisions vary among the exchanges.  You should consult the rules and regulations of the relevant exchange(s) in order to understand these liability limitations.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b/>
          <w:sz w:val="20"/>
        </w:rPr>
      </w:pPr>
      <w:r>
        <w:rPr>
          <w:sz w:val="20"/>
        </w:rPr>
        <w:t>*Each exchange’s relevant rules are available upon request from the industry professional with whom you have an account.  Some exchanges’ relevant rules also are available on the exchange’s internet home page.</w:t>
      </w:r>
      <w:r>
        <w:br w:type="page"/>
      </w:r>
    </w:p>
    <w:p>
      <w:pPr>
        <w:pStyle w:val="Normal"/>
        <w:rPr>
          <w:b/>
          <w:sz w:val="28"/>
        </w:rPr>
      </w:pPr>
      <w:r>
        <w:rPr>
          <w:b/>
          <w:sz w:val="28"/>
        </w:rPr>
        <w:t>Singapore Risk Disclosure Statement</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b/>
          <w:sz w:val="20"/>
        </w:rPr>
      </w:pPr>
      <w:r>
        <w:rPr>
          <w:b/>
          <w:sz w:val="20"/>
        </w:rPr>
      </w:r>
    </w:p>
    <w:p>
      <w:pPr>
        <w:pStyle w:val="Normal"/>
        <w:rPr>
          <w:b/>
          <w:sz w:val="20"/>
        </w:rPr>
      </w:pPr>
      <w:r>
        <w:rPr>
          <w:sz w:val="20"/>
        </w:rPr>
        <w:t>This statement is furnished to you because the regulations of the Monetary Authority of Singapore require it pursuant to the Republic of Singapore Futures Trading Act of 1986 (the "Act").</w:t>
      </w:r>
    </w:p>
    <w:p>
      <w:pPr>
        <w:pStyle w:val="Normal"/>
        <w:jc w:val="center"/>
        <w:rPr>
          <w:b/>
          <w:sz w:val="20"/>
        </w:rPr>
      </w:pPr>
      <w:r>
        <w:rPr>
          <w:b/>
          <w:sz w:val="20"/>
        </w:rPr>
      </w:r>
    </w:p>
    <w:p>
      <w:pPr>
        <w:pStyle w:val="Normal"/>
        <w:tabs>
          <w:tab w:val="clear" w:pos="720"/>
          <w:tab w:val="left" w:pos="360" w:leader="none"/>
        </w:tabs>
        <w:ind w:hanging="360" w:start="360" w:end="0"/>
        <w:rPr>
          <w:sz w:val="20"/>
        </w:rPr>
      </w:pPr>
      <w:r>
        <w:rPr>
          <w:sz w:val="20"/>
        </w:rPr>
        <w:t>1.</w:t>
        <w:tab/>
        <w:t>This statement is provided in accordance with section 39(1) of the Act.</w:t>
      </w:r>
    </w:p>
    <w:p>
      <w:pPr>
        <w:pStyle w:val="Normal"/>
        <w:tabs>
          <w:tab w:val="clear" w:pos="720"/>
          <w:tab w:val="left" w:pos="360" w:leader="none"/>
        </w:tabs>
        <w:ind w:hanging="360" w:start="360" w:end="0"/>
        <w:rPr>
          <w:sz w:val="20"/>
        </w:rPr>
      </w:pPr>
      <w:r>
        <w:rPr>
          <w:sz w:val="20"/>
        </w:rPr>
      </w:r>
    </w:p>
    <w:p>
      <w:pPr>
        <w:pStyle w:val="Normal"/>
        <w:tabs>
          <w:tab w:val="clear" w:pos="720"/>
          <w:tab w:val="left" w:pos="360" w:leader="none"/>
        </w:tabs>
        <w:ind w:hanging="360" w:start="360" w:end="0"/>
        <w:jc w:val="both"/>
        <w:rPr>
          <w:sz w:val="20"/>
        </w:rPr>
      </w:pPr>
      <w:r>
        <w:rPr>
          <w:sz w:val="20"/>
        </w:rPr>
        <w:t>2.</w:t>
        <w:tab/>
        <w:t>This statement does not disclose all of the risks and other significant aspects of trading in futures, options and leveraged foreign exchange.  In light of the risks, you should undertake such transactions only if you understand the nature of the contracts (and contractual relationships) into which you are entering and the extent of your exposure to risk.  Trading in futures, options and leveraged foreign exchange may not be suitable for many members of the public.  You should carefully consider whether such trading is appropriate for you in the light of your experience, objectives, financial resources and other relevant circumstances.  In considering whether to trade, you should be aware of the following:-</w:t>
      </w:r>
    </w:p>
    <w:p>
      <w:pPr>
        <w:pStyle w:val="Normal"/>
        <w:numPr>
          <w:ilvl w:val="0"/>
          <w:numId w:val="0"/>
        </w:numPr>
        <w:tabs>
          <w:tab w:val="clear" w:pos="720"/>
          <w:tab w:val="left" w:pos="360" w:leader="none"/>
        </w:tabs>
        <w:ind w:hanging="720" w:start="720" w:end="0"/>
        <w:rPr>
          <w:sz w:val="20"/>
        </w:rPr>
      </w:pPr>
      <w:r>
        <w:rPr>
          <w:sz w:val="20"/>
        </w:rPr>
      </w:r>
    </w:p>
    <w:p>
      <w:pPr>
        <w:pStyle w:val="Normal"/>
        <w:tabs>
          <w:tab w:val="clear" w:pos="720"/>
          <w:tab w:val="left" w:pos="360" w:leader="none"/>
        </w:tabs>
        <w:rPr>
          <w:sz w:val="20"/>
        </w:rPr>
      </w:pPr>
      <w:r>
        <w:rPr>
          <w:sz w:val="20"/>
        </w:rPr>
        <w:tab/>
        <w:t>a)</w:t>
        <w:tab/>
        <w:t xml:space="preserve"> Futures and Leveraged Foreign Exchange Trading</w:t>
      </w:r>
    </w:p>
    <w:p>
      <w:pPr>
        <w:pStyle w:val="Normal"/>
        <w:rPr>
          <w:sz w:val="20"/>
        </w:rPr>
      </w:pPr>
      <w:r>
        <w:rPr>
          <w:sz w:val="20"/>
        </w:rPr>
      </w:r>
    </w:p>
    <w:p>
      <w:pPr>
        <w:pStyle w:val="Normal"/>
        <w:tabs>
          <w:tab w:val="clear" w:pos="720"/>
          <w:tab w:val="left" w:pos="810" w:leader="none"/>
          <w:tab w:val="left" w:pos="1170" w:leader="none"/>
        </w:tabs>
        <w:rPr>
          <w:sz w:val="20"/>
        </w:rPr>
      </w:pPr>
      <w:r>
        <w:rPr>
          <w:sz w:val="20"/>
        </w:rPr>
        <w:tab/>
        <w:t>1.</w:t>
        <w:tab/>
        <w:t>Effect of ‘Leverage’ or ‘Gearing’</w:t>
      </w:r>
    </w:p>
    <w:p>
      <w:pPr>
        <w:pStyle w:val="Normal"/>
        <w:tabs>
          <w:tab w:val="clear" w:pos="720"/>
          <w:tab w:val="left" w:pos="810" w:leader="none"/>
          <w:tab w:val="left" w:pos="1170" w:leader="none"/>
        </w:tabs>
        <w:rPr>
          <w:sz w:val="20"/>
        </w:rPr>
      </w:pPr>
      <w:r>
        <w:rPr>
          <w:sz w:val="20"/>
        </w:rPr>
      </w:r>
    </w:p>
    <w:p>
      <w:pPr>
        <w:pStyle w:val="Normal"/>
        <w:tabs>
          <w:tab w:val="clear" w:pos="720"/>
          <w:tab w:val="left" w:pos="1170" w:leader="none"/>
        </w:tabs>
        <w:ind w:hanging="1170" w:start="1170" w:end="0"/>
        <w:jc w:val="both"/>
        <w:rPr>
          <w:sz w:val="20"/>
        </w:rPr>
      </w:pPr>
      <w:r>
        <w:rPr>
          <w:sz w:val="20"/>
        </w:rPr>
        <w:tab/>
        <w:t>Transactions in futures and leveraged foreign exchange carry a high degree of risk.  The amount of initial margin is small relative to the value of the futures contract or leveraged foreign exchange transaction so that the transaction is highly ‘leveraged’ or ‘geared’.  A relatively small market movement will have a proportionately larger impact on the funds you have deposited or will have to deposit: this may work against you as well as for you.  You may sustain a total loss of initial margin funds and any additional funds deposited with the firm to maintain your position.  If the market moves against your position or margin levels are increased, you may be called upon to pay substantial additional funds on short notice in order to maintain your position.  If you fail to comply with a request for additional funds within the time prescribed, your position may be liquidated at a loss and you will be liable for any resulting deficit in your account.</w:t>
      </w:r>
    </w:p>
    <w:p>
      <w:pPr>
        <w:pStyle w:val="Normal"/>
        <w:tabs>
          <w:tab w:val="clear" w:pos="720"/>
          <w:tab w:val="left" w:pos="360" w:leader="none"/>
          <w:tab w:val="left" w:pos="1170" w:leader="none"/>
        </w:tabs>
        <w:ind w:hanging="360" w:start="360" w:end="0"/>
        <w:jc w:val="both"/>
        <w:rPr>
          <w:sz w:val="20"/>
        </w:rPr>
      </w:pPr>
      <w:r>
        <w:rPr>
          <w:sz w:val="20"/>
        </w:rPr>
      </w:r>
    </w:p>
    <w:p>
      <w:pPr>
        <w:pStyle w:val="Normal"/>
        <w:tabs>
          <w:tab w:val="clear" w:pos="720"/>
          <w:tab w:val="left" w:pos="360" w:leader="none"/>
          <w:tab w:val="left" w:pos="810" w:leader="none"/>
          <w:tab w:val="left" w:pos="1170" w:leader="none"/>
        </w:tabs>
        <w:ind w:hanging="450" w:start="360" w:end="0"/>
        <w:rPr>
          <w:sz w:val="20"/>
        </w:rPr>
      </w:pPr>
      <w:r>
        <w:rPr>
          <w:sz w:val="20"/>
        </w:rPr>
        <w:tab/>
        <w:tab/>
        <w:t>2.</w:t>
        <w:tab/>
        <w:t>Risk-Reducing Orders or Strategies</w:t>
      </w:r>
    </w:p>
    <w:p>
      <w:pPr>
        <w:pStyle w:val="Normal"/>
        <w:tabs>
          <w:tab w:val="clear" w:pos="720"/>
          <w:tab w:val="left" w:pos="360" w:leader="none"/>
          <w:tab w:val="left" w:pos="810" w:leader="none"/>
          <w:tab w:val="left" w:pos="1170" w:leader="none"/>
        </w:tabs>
        <w:ind w:hanging="450" w:start="360" w:end="0"/>
        <w:rPr>
          <w:sz w:val="20"/>
        </w:rPr>
      </w:pPr>
      <w:r>
        <w:rPr>
          <w:sz w:val="20"/>
        </w:rPr>
      </w:r>
    </w:p>
    <w:p>
      <w:pPr>
        <w:pStyle w:val="Normal"/>
        <w:tabs>
          <w:tab w:val="clear" w:pos="720"/>
          <w:tab w:val="left" w:pos="630" w:leader="none"/>
          <w:tab w:val="left" w:pos="810" w:leader="none"/>
          <w:tab w:val="left" w:pos="1170" w:leader="none"/>
        </w:tabs>
        <w:ind w:hanging="1260" w:start="1170" w:end="0"/>
        <w:jc w:val="both"/>
        <w:rPr>
          <w:sz w:val="20"/>
        </w:rPr>
      </w:pPr>
      <w:r>
        <w:rPr>
          <w:sz w:val="20"/>
        </w:rPr>
        <w:tab/>
        <w:tab/>
        <w:tab/>
        <w:t>The placing of certain orders (eg ‘stop-loss’ orders, where permitted under local law, or ‘stop-limit’ orders) which are intended to limit losses to certain amounts may not be effective because market conditions may make it impossible to execute such orders.  At times, it is also difficult or impossible to liquidate a position without incurring substantial losses.  Strategies using combinations of positions, such as ‘spread’ and ‘straddle’ positions may be as risky as taking simple ‘long’ or ‘short’ positions.</w:t>
      </w:r>
    </w:p>
    <w:p>
      <w:pPr>
        <w:pStyle w:val="Normal"/>
        <w:tabs>
          <w:tab w:val="clear" w:pos="720"/>
          <w:tab w:val="left" w:pos="630" w:leader="none"/>
          <w:tab w:val="left" w:pos="810" w:leader="none"/>
          <w:tab w:val="left" w:pos="1170" w:leader="none"/>
        </w:tabs>
        <w:ind w:hanging="1260" w:start="1170" w:end="0"/>
        <w:rPr>
          <w:sz w:val="20"/>
        </w:rPr>
      </w:pPr>
      <w:r>
        <w:rPr>
          <w:sz w:val="20"/>
        </w:rPr>
      </w:r>
    </w:p>
    <w:p>
      <w:pPr>
        <w:pStyle w:val="Normal"/>
        <w:tabs>
          <w:tab w:val="clear" w:pos="720"/>
          <w:tab w:val="left" w:pos="360" w:leader="none"/>
          <w:tab w:val="left" w:pos="810" w:leader="none"/>
        </w:tabs>
        <w:rPr>
          <w:sz w:val="20"/>
        </w:rPr>
      </w:pPr>
      <w:r>
        <w:rPr>
          <w:sz w:val="20"/>
        </w:rPr>
        <w:tab/>
        <w:t>b)</w:t>
        <w:tab/>
        <w:t>Options</w:t>
      </w:r>
    </w:p>
    <w:p>
      <w:pPr>
        <w:pStyle w:val="Normal"/>
        <w:rPr>
          <w:sz w:val="20"/>
        </w:rPr>
      </w:pPr>
      <w:r>
        <w:rPr>
          <w:sz w:val="20"/>
        </w:rPr>
      </w:r>
    </w:p>
    <w:p>
      <w:pPr>
        <w:pStyle w:val="Normal"/>
        <w:tabs>
          <w:tab w:val="clear" w:pos="720"/>
          <w:tab w:val="left" w:pos="810" w:leader="none"/>
          <w:tab w:val="left" w:pos="1170" w:leader="none"/>
        </w:tabs>
        <w:ind w:hanging="1170" w:start="1170" w:end="0"/>
        <w:rPr>
          <w:sz w:val="20"/>
        </w:rPr>
      </w:pPr>
      <w:r>
        <w:rPr>
          <w:sz w:val="20"/>
        </w:rPr>
        <w:tab/>
        <w:t>1.</w:t>
        <w:tab/>
        <w:t>Variable Degree of Risk</w:t>
      </w:r>
    </w:p>
    <w:p>
      <w:pPr>
        <w:pStyle w:val="Normal"/>
        <w:rPr>
          <w:sz w:val="20"/>
        </w:rPr>
      </w:pPr>
      <w:r>
        <w:rPr>
          <w:sz w:val="20"/>
        </w:rPr>
      </w:r>
    </w:p>
    <w:p>
      <w:pPr>
        <w:pStyle w:val="Normal"/>
        <w:ind w:start="1170" w:end="0"/>
        <w:jc w:val="both"/>
        <w:rPr>
          <w:sz w:val="20"/>
        </w:rPr>
      </w:pPr>
      <w:r>
        <w:rPr>
          <w:sz w:val="20"/>
        </w:rPr>
        <w:t>Transactions in options carry a high degree of risk.  Purchasers and sellers of options should familiarize themselves with the type of option (ie put or call) which they contemplate trading and the associated risks.  You should calculate the extent to which the value of the options would have to increase for your position to become profitable, taking into account the premium paid and all transaction costs.</w:t>
      </w:r>
    </w:p>
    <w:p>
      <w:pPr>
        <w:pStyle w:val="Normal"/>
        <w:ind w:start="1170" w:end="0"/>
        <w:rPr>
          <w:sz w:val="20"/>
        </w:rPr>
      </w:pPr>
      <w:r>
        <w:rPr>
          <w:sz w:val="20"/>
        </w:rPr>
      </w:r>
      <w:r>
        <w:br w:type="page"/>
      </w:r>
    </w:p>
    <w:p>
      <w:pPr>
        <w:pStyle w:val="Normal"/>
        <w:ind w:start="1170" w:end="0"/>
        <w:jc w:val="both"/>
        <w:rPr>
          <w:sz w:val="20"/>
        </w:rPr>
      </w:pPr>
      <w:r>
        <w:rPr>
          <w:sz w:val="20"/>
        </w:rPr>
        <w:t>The purchaser of options may offset its position by trading in the market or exercise the options or allow the options to expire.  The exercise of an option results either in a cash settlement or in the purchaser acquiring or delivering the underlying interest.  If the option is on a futures contract or leveraged foreign exchange transaction, the purchaser will have to acquire a futures or a leveraged foreign exchange position, as the case may be, with associated liabilities for margin (see the section on Futures and Leveraged Foreign Exchange Trading above).  If the purchased options expire worthless, you will suffer a total loss of your investment which will consist of the option premium paid plus transaction costs.  If you are contemplating purchasing deep-out-of-the-money options, you should be aware that, ordinarily, the chance of such options becoming profitable is remote.</w:t>
      </w:r>
    </w:p>
    <w:p>
      <w:pPr>
        <w:pStyle w:val="Normal"/>
        <w:ind w:start="1170" w:end="0"/>
        <w:jc w:val="both"/>
        <w:rPr>
          <w:sz w:val="20"/>
        </w:rPr>
      </w:pPr>
      <w:r>
        <w:rPr>
          <w:sz w:val="20"/>
        </w:rPr>
      </w:r>
    </w:p>
    <w:p>
      <w:pPr>
        <w:pStyle w:val="Normal"/>
        <w:ind w:start="1170" w:end="0"/>
        <w:jc w:val="both"/>
        <w:rPr>
          <w:sz w:val="20"/>
        </w:rPr>
      </w:pPr>
      <w:r>
        <w:rPr>
          <w:sz w:val="20"/>
        </w:rPr>
        <w:t>Selling (‘writing’ or granting’) an option generally entails considerably greater risk than purchasing options.  Although the premium received by the seller is fixed, the seller may sustain a loss well in excess of the amount of premium received.  The seller will be liable to deposit additional margin to maintain the position if the market moves unfavorably.  The seller will also be exposed to the risk of the purchaser exercising the option and the seller will be obligated to either settle the option in cash or to acquire or deliver the underlying interest.  If the option is on a futures or a leveraged foreign exchange transaction, the seller will acquire a futures or a leveraged foreign exchange position, as the case may be, with associated liabilities for margin (see the section on Futures and Leveraged Foreign Exchange Trading above).  If the option is ‘covered’ by the seller holding a corresponding position in the underlying futures contract, leveraged foreign exchange transaction or another option, the risk may be reduced.  If the option is not covered, the risk of loss can be unlimited.</w:t>
      </w:r>
    </w:p>
    <w:p>
      <w:pPr>
        <w:pStyle w:val="Normal"/>
        <w:ind w:start="1170" w:end="0"/>
        <w:jc w:val="both"/>
        <w:rPr>
          <w:sz w:val="20"/>
        </w:rPr>
      </w:pPr>
      <w:r>
        <w:rPr>
          <w:sz w:val="20"/>
        </w:rPr>
      </w:r>
    </w:p>
    <w:p>
      <w:pPr>
        <w:pStyle w:val="Normal"/>
        <w:ind w:start="1170" w:end="0"/>
        <w:jc w:val="both"/>
        <w:rPr>
          <w:sz w:val="20"/>
        </w:rPr>
      </w:pPr>
      <w:r>
        <w:rPr>
          <w:sz w:val="20"/>
        </w:rPr>
        <w:t>Certain exchanges in some jurisdictions permit deferred payment of the option premium, limiting the liability of the purchaser to margin payments not exceeding the amount of the premium.  The purchaser is still subject to the risk of losing the premium and transaction costs.  When the option is  exercised or expires, the purchaser is responsible for any unpaid premium outstanding at that time.</w:t>
      </w:r>
    </w:p>
    <w:p>
      <w:pPr>
        <w:pStyle w:val="Normal"/>
        <w:rPr>
          <w:sz w:val="20"/>
        </w:rPr>
      </w:pPr>
      <w:r>
        <w:rPr>
          <w:sz w:val="20"/>
        </w:rPr>
      </w:r>
    </w:p>
    <w:p>
      <w:pPr>
        <w:pStyle w:val="Normal"/>
        <w:tabs>
          <w:tab w:val="clear" w:pos="720"/>
          <w:tab w:val="left" w:pos="360" w:leader="none"/>
          <w:tab w:val="left" w:pos="810" w:leader="none"/>
        </w:tabs>
        <w:rPr>
          <w:sz w:val="20"/>
        </w:rPr>
      </w:pPr>
      <w:r>
        <w:rPr>
          <w:sz w:val="20"/>
        </w:rPr>
        <w:tab/>
        <w:t>c)</w:t>
        <w:tab/>
        <w:t>Additional Risks Common to Futures, Options and Leveraged Foreign Exchange Trading</w:t>
      </w:r>
    </w:p>
    <w:p>
      <w:pPr>
        <w:pStyle w:val="Normal"/>
        <w:rPr>
          <w:sz w:val="20"/>
        </w:rPr>
      </w:pPr>
      <w:r>
        <w:rPr>
          <w:sz w:val="20"/>
        </w:rPr>
      </w:r>
    </w:p>
    <w:p>
      <w:pPr>
        <w:pStyle w:val="Normal"/>
        <w:tabs>
          <w:tab w:val="clear" w:pos="720"/>
          <w:tab w:val="left" w:pos="810" w:leader="none"/>
          <w:tab w:val="left" w:pos="1170" w:leader="none"/>
        </w:tabs>
        <w:rPr>
          <w:sz w:val="20"/>
        </w:rPr>
      </w:pPr>
      <w:r>
        <w:rPr>
          <w:sz w:val="20"/>
        </w:rPr>
        <w:tab/>
        <w:t>1.</w:t>
        <w:tab/>
        <w:t>Terms and Conditions of Contracts</w:t>
      </w:r>
    </w:p>
    <w:p>
      <w:pPr>
        <w:pStyle w:val="Normal"/>
        <w:numPr>
          <w:ilvl w:val="0"/>
          <w:numId w:val="0"/>
        </w:numPr>
        <w:ind w:hanging="0" w:start="1170" w:end="0"/>
        <w:rPr>
          <w:sz w:val="20"/>
        </w:rPr>
      </w:pPr>
      <w:r>
        <w:rPr>
          <w:sz w:val="20"/>
        </w:rPr>
      </w:r>
    </w:p>
    <w:p>
      <w:pPr>
        <w:pStyle w:val="Normal"/>
        <w:numPr>
          <w:ilvl w:val="0"/>
          <w:numId w:val="0"/>
        </w:numPr>
        <w:tabs>
          <w:tab w:val="clear" w:pos="720"/>
          <w:tab w:val="left" w:pos="1170" w:leader="none"/>
        </w:tabs>
        <w:ind w:hanging="1170" w:start="1170" w:end="0"/>
        <w:jc w:val="both"/>
        <w:rPr>
          <w:sz w:val="20"/>
        </w:rPr>
      </w:pPr>
      <w:r>
        <w:rPr>
          <w:sz w:val="20"/>
        </w:rPr>
        <w:tab/>
        <w:t>You should ask the firm with which you conduct your transactions, the terms and conditions of the specific futures contract, option or leveraged foreign exchange transaction which you are trading and the associated obligations (eg the circumstances under which you may become obligated to make or take delivery of the underlying interest of a futures contract or a leveraged foreign exchange transaction and, in respect of options, expiration dates and restrictions on the time for exercise).  Under certain circumstances, the specifications of outstanding contracts (including the exercise price of an option) may be modified by the exchange or clearing house to reflect changes in the underlying interest.</w:t>
      </w:r>
    </w:p>
    <w:p>
      <w:pPr>
        <w:pStyle w:val="Normal"/>
        <w:tabs>
          <w:tab w:val="clear" w:pos="720"/>
          <w:tab w:val="left" w:pos="1170" w:leader="none"/>
        </w:tabs>
        <w:rPr>
          <w:sz w:val="20"/>
        </w:rPr>
      </w:pPr>
      <w:r>
        <w:rPr>
          <w:sz w:val="20"/>
        </w:rPr>
        <w:tab/>
      </w:r>
    </w:p>
    <w:p>
      <w:pPr>
        <w:pStyle w:val="Normal"/>
        <w:tabs>
          <w:tab w:val="clear" w:pos="720"/>
          <w:tab w:val="left" w:pos="810" w:leader="none"/>
          <w:tab w:val="left" w:pos="1170" w:leader="none"/>
        </w:tabs>
        <w:rPr>
          <w:sz w:val="20"/>
        </w:rPr>
      </w:pPr>
      <w:r>
        <w:rPr>
          <w:sz w:val="20"/>
        </w:rPr>
        <w:tab/>
        <w:t>2.</w:t>
        <w:tab/>
        <w:t>Suspension or Restriction of Trading and Pricing Relationships</w:t>
      </w:r>
    </w:p>
    <w:p>
      <w:pPr>
        <w:pStyle w:val="Normal"/>
        <w:rPr>
          <w:sz w:val="20"/>
        </w:rPr>
      </w:pPr>
      <w:r>
        <w:rPr>
          <w:sz w:val="20"/>
        </w:rPr>
      </w:r>
    </w:p>
    <w:p>
      <w:pPr>
        <w:pStyle w:val="Normal"/>
        <w:tabs>
          <w:tab w:val="clear" w:pos="720"/>
          <w:tab w:val="left" w:pos="1170" w:leader="none"/>
        </w:tabs>
        <w:ind w:hanging="1170" w:start="1170" w:end="0"/>
        <w:jc w:val="both"/>
        <w:rPr>
          <w:sz w:val="20"/>
        </w:rPr>
      </w:pPr>
      <w:r>
        <w:rPr>
          <w:sz w:val="20"/>
        </w:rPr>
        <w:tab/>
        <w:t>Market conditions (eg illiquidity) and/or the operation of the rules of certain markets (eg the suspension of trading in any contract or contract month because of price limits or ‘circuit breakers’) may increase the risk of loss by making it difficult or impossible to effect transactions or liquidate/offset positions.  If you have sold options, this may increase the risk of loss.</w:t>
      </w:r>
    </w:p>
    <w:p>
      <w:pPr>
        <w:pStyle w:val="Normal"/>
        <w:tabs>
          <w:tab w:val="clear" w:pos="720"/>
          <w:tab w:val="left" w:pos="1170" w:leader="none"/>
        </w:tabs>
        <w:ind w:hanging="1170" w:start="1170" w:end="0"/>
        <w:jc w:val="both"/>
        <w:rPr>
          <w:sz w:val="20"/>
        </w:rPr>
      </w:pPr>
      <w:r>
        <w:rPr>
          <w:sz w:val="20"/>
        </w:rPr>
      </w:r>
    </w:p>
    <w:p>
      <w:pPr>
        <w:pStyle w:val="Normal"/>
        <w:tabs>
          <w:tab w:val="clear" w:pos="720"/>
          <w:tab w:val="left" w:pos="1170" w:leader="none"/>
        </w:tabs>
        <w:ind w:hanging="1170" w:start="1170" w:end="0"/>
        <w:jc w:val="both"/>
        <w:rPr>
          <w:sz w:val="20"/>
        </w:rPr>
      </w:pPr>
      <w:r>
        <w:rPr>
          <w:sz w:val="20"/>
        </w:rPr>
        <w:tab/>
        <w:t>Further, normal pricing relationships between the underlying interest and the futures contract, and the underlying interest and the option may not exist.  This can occur when, for example, the futures contract underlying the option is subject to price limits while the option is not.  The absence of an underlying reference price may make it difficult to judge ‘fair’  value.</w:t>
      </w:r>
    </w:p>
    <w:p>
      <w:pPr>
        <w:pStyle w:val="Normal"/>
        <w:tabs>
          <w:tab w:val="clear" w:pos="720"/>
          <w:tab w:val="left" w:pos="1170" w:leader="none"/>
        </w:tabs>
        <w:ind w:hanging="1170" w:start="1170" w:end="0"/>
        <w:jc w:val="both"/>
        <w:rPr>
          <w:sz w:val="20"/>
        </w:rPr>
      </w:pPr>
      <w:r>
        <w:rPr>
          <w:sz w:val="20"/>
        </w:rPr>
      </w:r>
    </w:p>
    <w:p>
      <w:pPr>
        <w:pStyle w:val="Normal"/>
        <w:tabs>
          <w:tab w:val="clear" w:pos="720"/>
          <w:tab w:val="left" w:pos="810" w:leader="none"/>
          <w:tab w:val="left" w:pos="1170" w:leader="none"/>
        </w:tabs>
        <w:jc w:val="both"/>
        <w:rPr>
          <w:sz w:val="20"/>
        </w:rPr>
      </w:pPr>
      <w:r>
        <w:rPr>
          <w:sz w:val="20"/>
        </w:rPr>
        <w:tab/>
        <w:t>3.</w:t>
        <w:tab/>
        <w:t>Deposited Cash and Property</w:t>
      </w:r>
    </w:p>
    <w:p>
      <w:pPr>
        <w:pStyle w:val="Normal"/>
        <w:jc w:val="both"/>
        <w:rPr>
          <w:sz w:val="20"/>
        </w:rPr>
      </w:pPr>
      <w:r>
        <w:rPr>
          <w:sz w:val="20"/>
        </w:rPr>
      </w:r>
    </w:p>
    <w:p>
      <w:pPr>
        <w:pStyle w:val="Normal"/>
        <w:tabs>
          <w:tab w:val="clear" w:pos="720"/>
          <w:tab w:val="left" w:pos="1170" w:leader="none"/>
        </w:tabs>
        <w:ind w:hanging="1170" w:start="1170" w:end="0"/>
        <w:jc w:val="both"/>
        <w:rPr>
          <w:sz w:val="20"/>
        </w:rPr>
      </w:pPr>
      <w:r>
        <w:rPr>
          <w:sz w:val="20"/>
        </w:rPr>
        <w:tab/>
        <w:t>You should familiarize yourself with the protection accorded to any money or other property which you deposit for domestic and foreign transactions, particularly in the event of a firm’s insolvency or bankruptcy.  The extent to which you may recover your money or property may be governed by specific legislation or local rules.  In some jurisdictions, property which had been specifically identifiable as your own will be pro-rated in the same manner as cash for purposes of distribution in the event of a shortfall.</w:t>
      </w:r>
    </w:p>
    <w:p>
      <w:pPr>
        <w:pStyle w:val="Normal"/>
        <w:jc w:val="both"/>
        <w:rPr>
          <w:sz w:val="20"/>
        </w:rPr>
      </w:pPr>
      <w:r>
        <w:rPr>
          <w:sz w:val="20"/>
        </w:rPr>
      </w:r>
    </w:p>
    <w:p>
      <w:pPr>
        <w:pStyle w:val="Normal"/>
        <w:tabs>
          <w:tab w:val="clear" w:pos="720"/>
          <w:tab w:val="left" w:pos="360" w:leader="none"/>
          <w:tab w:val="left" w:pos="810" w:leader="none"/>
        </w:tabs>
        <w:rPr>
          <w:sz w:val="20"/>
        </w:rPr>
      </w:pPr>
      <w:r>
        <w:rPr>
          <w:sz w:val="20"/>
        </w:rPr>
        <w:tab/>
        <w:t>d)</w:t>
        <w:tab/>
        <w:t>Commission and Other Charges</w:t>
      </w:r>
    </w:p>
    <w:p>
      <w:pPr>
        <w:pStyle w:val="Normal"/>
        <w:rPr>
          <w:sz w:val="20"/>
        </w:rPr>
      </w:pPr>
      <w:r>
        <w:rPr>
          <w:sz w:val="20"/>
        </w:rPr>
      </w:r>
    </w:p>
    <w:p>
      <w:pPr>
        <w:pStyle w:val="Normal"/>
        <w:tabs>
          <w:tab w:val="clear" w:pos="720"/>
          <w:tab w:val="left" w:pos="810" w:leader="none"/>
        </w:tabs>
        <w:ind w:hanging="810" w:start="810" w:end="0"/>
        <w:jc w:val="both"/>
        <w:rPr>
          <w:sz w:val="20"/>
        </w:rPr>
      </w:pPr>
      <w:r>
        <w:rPr>
          <w:sz w:val="20"/>
        </w:rPr>
        <w:tab/>
        <w:t>Before you begin to trade, you should obtain a clear explanation of all commissions, fees and other charges for which you will be liable.  These charges will affect your net profit (if any) or increase your loss.</w:t>
      </w:r>
    </w:p>
    <w:p>
      <w:pPr>
        <w:pStyle w:val="Normal"/>
        <w:rPr>
          <w:sz w:val="20"/>
        </w:rPr>
      </w:pPr>
      <w:r>
        <w:rPr>
          <w:sz w:val="20"/>
        </w:rPr>
      </w:r>
    </w:p>
    <w:p>
      <w:pPr>
        <w:pStyle w:val="Normal"/>
        <w:tabs>
          <w:tab w:val="clear" w:pos="720"/>
          <w:tab w:val="left" w:pos="360" w:leader="none"/>
          <w:tab w:val="left" w:pos="810" w:leader="none"/>
        </w:tabs>
        <w:rPr>
          <w:sz w:val="20"/>
        </w:rPr>
      </w:pPr>
      <w:r>
        <w:rPr>
          <w:sz w:val="20"/>
        </w:rPr>
        <w:tab/>
        <w:t>e)</w:t>
        <w:tab/>
        <w:t>Transactions in Other Jurisdictions</w:t>
      </w:r>
    </w:p>
    <w:p>
      <w:pPr>
        <w:pStyle w:val="Normal"/>
        <w:rPr>
          <w:sz w:val="20"/>
        </w:rPr>
      </w:pPr>
      <w:r>
        <w:rPr>
          <w:sz w:val="20"/>
        </w:rPr>
      </w:r>
    </w:p>
    <w:p>
      <w:pPr>
        <w:pStyle w:val="Normal"/>
        <w:tabs>
          <w:tab w:val="clear" w:pos="720"/>
          <w:tab w:val="left" w:pos="810" w:leader="none"/>
        </w:tabs>
        <w:ind w:hanging="810" w:start="810" w:end="0"/>
        <w:jc w:val="both"/>
        <w:rPr>
          <w:sz w:val="20"/>
        </w:rPr>
      </w:pPr>
      <w:r>
        <w:rPr>
          <w:sz w:val="20"/>
        </w:rPr>
        <w:tab/>
        <w:t>Transactions on markets in other jurisdictions, including markets formally linked to a domestic market, may expose you to additional risk.  Such markets may be subject to regulation which may offer different or diminished investor protection.  Before you trade, you should enquire about any rules relevant to your particular transactions.  Your local regulatory authority will be unable to compel the enforcement of the rules of regulatory authorities or markets in other jurisdictions where your transactions have been effected.  You should ask the firm with which you conduct your transactions for details about the types of redress available in both your home jurisdiction and other relevant jurisdictions before you start to trade.</w:t>
      </w:r>
    </w:p>
    <w:p>
      <w:pPr>
        <w:pStyle w:val="Normal"/>
        <w:rPr>
          <w:sz w:val="20"/>
        </w:rPr>
      </w:pPr>
      <w:r>
        <w:rPr>
          <w:sz w:val="20"/>
        </w:rPr>
        <w:t xml:space="preserve"> </w:t>
      </w:r>
    </w:p>
    <w:p>
      <w:pPr>
        <w:pStyle w:val="Normal"/>
        <w:tabs>
          <w:tab w:val="clear" w:pos="720"/>
          <w:tab w:val="left" w:pos="360" w:leader="none"/>
          <w:tab w:val="left" w:pos="810" w:leader="none"/>
        </w:tabs>
        <w:rPr>
          <w:sz w:val="20"/>
        </w:rPr>
      </w:pPr>
      <w:r>
        <w:rPr>
          <w:sz w:val="20"/>
        </w:rPr>
        <w:tab/>
        <w:t>f)</w:t>
        <w:tab/>
        <w:t>Currency Risks</w:t>
      </w:r>
    </w:p>
    <w:p>
      <w:pPr>
        <w:pStyle w:val="Normal"/>
        <w:rPr>
          <w:sz w:val="20"/>
        </w:rPr>
      </w:pPr>
      <w:r>
        <w:rPr>
          <w:sz w:val="20"/>
        </w:rPr>
      </w:r>
    </w:p>
    <w:p>
      <w:pPr>
        <w:pStyle w:val="Normal"/>
        <w:tabs>
          <w:tab w:val="clear" w:pos="720"/>
          <w:tab w:val="left" w:pos="810" w:leader="none"/>
        </w:tabs>
        <w:ind w:hanging="810" w:start="810" w:end="0"/>
        <w:jc w:val="both"/>
        <w:rPr>
          <w:sz w:val="20"/>
        </w:rPr>
      </w:pPr>
      <w:r>
        <w:rPr>
          <w:sz w:val="20"/>
        </w:rPr>
        <w:tab/>
        <w:t>The profit or loss in transactions in foreign currency-denominated futures and options contracts (whether they are traded in your own or another jurisdiction) will be affected by fluctuations in currency rates where there is a need to convert from the currency denomination of the contract to another currency.</w:t>
      </w:r>
    </w:p>
    <w:p>
      <w:pPr>
        <w:pStyle w:val="Normal"/>
        <w:rPr>
          <w:sz w:val="20"/>
        </w:rPr>
      </w:pPr>
      <w:r>
        <w:rPr>
          <w:sz w:val="20"/>
        </w:rPr>
      </w:r>
    </w:p>
    <w:p>
      <w:pPr>
        <w:pStyle w:val="Normal"/>
        <w:tabs>
          <w:tab w:val="clear" w:pos="720"/>
          <w:tab w:val="left" w:pos="360" w:leader="none"/>
          <w:tab w:val="left" w:pos="810" w:leader="none"/>
        </w:tabs>
        <w:rPr>
          <w:sz w:val="20"/>
        </w:rPr>
      </w:pPr>
      <w:r>
        <w:rPr>
          <w:sz w:val="20"/>
        </w:rPr>
        <w:tab/>
        <w:t>g)</w:t>
        <w:tab/>
        <w:t>Trading Facilities</w:t>
      </w:r>
    </w:p>
    <w:p>
      <w:pPr>
        <w:pStyle w:val="Normal"/>
        <w:rPr>
          <w:sz w:val="20"/>
        </w:rPr>
      </w:pPr>
      <w:r>
        <w:rPr>
          <w:sz w:val="20"/>
        </w:rPr>
      </w:r>
    </w:p>
    <w:p>
      <w:pPr>
        <w:pStyle w:val="Normal"/>
        <w:tabs>
          <w:tab w:val="clear" w:pos="720"/>
          <w:tab w:val="left" w:pos="810" w:leader="none"/>
        </w:tabs>
        <w:ind w:hanging="810" w:start="810" w:end="0"/>
        <w:jc w:val="both"/>
        <w:rPr>
          <w:sz w:val="20"/>
        </w:rPr>
      </w:pPr>
      <w:r>
        <w:rPr>
          <w:sz w:val="20"/>
        </w:rPr>
        <w:tab/>
        <w:t>Most open-outcry and electronic trading facilities are supported by computer-based component systems for the order-routing, execution, matching, registration or clearing of trades.  As with all facilities and systems, they are vulnerable to temporary disruption or failure.  Your ability to recover certain losses may be subject to limits on liability imposed by the system provider , the market, the clearing house and/or member firms.  Such limits may vary: you should ask the firm with which you conduct your transactions for details in this respect.</w:t>
      </w:r>
    </w:p>
    <w:p>
      <w:pPr>
        <w:pStyle w:val="Normal"/>
        <w:rPr>
          <w:sz w:val="20"/>
        </w:rPr>
      </w:pPr>
      <w:r>
        <w:rPr>
          <w:sz w:val="20"/>
        </w:rPr>
      </w:r>
    </w:p>
    <w:p>
      <w:pPr>
        <w:pStyle w:val="Normal"/>
        <w:tabs>
          <w:tab w:val="clear" w:pos="720"/>
          <w:tab w:val="left" w:pos="360" w:leader="none"/>
          <w:tab w:val="left" w:pos="810" w:leader="none"/>
        </w:tabs>
        <w:rPr>
          <w:sz w:val="20"/>
        </w:rPr>
      </w:pPr>
      <w:r>
        <w:rPr>
          <w:sz w:val="20"/>
        </w:rPr>
        <w:tab/>
        <w:t>h)</w:t>
        <w:tab/>
        <w:t>Electronic Trading</w:t>
      </w:r>
    </w:p>
    <w:p>
      <w:pPr>
        <w:pStyle w:val="Normal"/>
        <w:rPr>
          <w:sz w:val="20"/>
        </w:rPr>
      </w:pPr>
      <w:r>
        <w:rPr>
          <w:sz w:val="20"/>
        </w:rPr>
      </w:r>
    </w:p>
    <w:p>
      <w:pPr>
        <w:pStyle w:val="Normal"/>
        <w:tabs>
          <w:tab w:val="clear" w:pos="720"/>
          <w:tab w:val="left" w:pos="810" w:leader="none"/>
        </w:tabs>
        <w:ind w:hanging="810" w:start="810" w:end="0"/>
        <w:jc w:val="both"/>
        <w:rPr>
          <w:sz w:val="20"/>
        </w:rPr>
      </w:pPr>
      <w:r>
        <w:rPr>
          <w:sz w:val="20"/>
        </w:rPr>
        <w:tab/>
        <w:t>Trading on an electronic trading system may differ not only from trading in an open-outcry market but also from trading on other electronic trading systems.  If you undertake transactions on an electronic trading system, you will be exposed to risks associated with the system including the failure of hardware and software.  The result of any system failure may be that your order is either not executed according to your instructions or is not executed at all.</w:t>
      </w:r>
    </w:p>
    <w:p>
      <w:pPr>
        <w:pStyle w:val="Normal"/>
        <w:tabs>
          <w:tab w:val="clear" w:pos="720"/>
          <w:tab w:val="left" w:pos="810" w:leader="none"/>
        </w:tabs>
        <w:ind w:hanging="810" w:start="810" w:end="0"/>
        <w:rPr>
          <w:sz w:val="20"/>
        </w:rPr>
      </w:pPr>
      <w:r>
        <w:rPr>
          <w:sz w:val="20"/>
        </w:rPr>
      </w:r>
    </w:p>
    <w:p>
      <w:pPr>
        <w:pStyle w:val="Normal"/>
        <w:tabs>
          <w:tab w:val="clear" w:pos="720"/>
          <w:tab w:val="left" w:pos="360" w:leader="none"/>
          <w:tab w:val="left" w:pos="810" w:leader="none"/>
        </w:tabs>
        <w:rPr>
          <w:sz w:val="20"/>
        </w:rPr>
      </w:pPr>
      <w:r>
        <w:rPr>
          <w:sz w:val="20"/>
        </w:rPr>
        <w:tab/>
        <w:t>i)</w:t>
        <w:tab/>
        <w:t>Off-Exchange Transactions</w:t>
      </w:r>
    </w:p>
    <w:p>
      <w:pPr>
        <w:pStyle w:val="Normal"/>
        <w:tabs>
          <w:tab w:val="clear" w:pos="720"/>
          <w:tab w:val="left" w:pos="810" w:leader="none"/>
        </w:tabs>
        <w:rPr>
          <w:sz w:val="20"/>
        </w:rPr>
      </w:pPr>
      <w:r>
        <w:rPr>
          <w:sz w:val="20"/>
        </w:rPr>
      </w:r>
    </w:p>
    <w:p>
      <w:pPr>
        <w:pStyle w:val="Normal"/>
        <w:tabs>
          <w:tab w:val="clear" w:pos="720"/>
          <w:tab w:val="left" w:pos="810" w:leader="none"/>
        </w:tabs>
        <w:ind w:hanging="810" w:start="810" w:end="0"/>
        <w:jc w:val="both"/>
        <w:rPr>
          <w:sz w:val="20"/>
        </w:rPr>
      </w:pPr>
      <w:r>
        <w:rPr>
          <w:sz w:val="20"/>
        </w:rPr>
        <w:tab/>
        <w:t>In some jurisdictions, firms are permitted to effect off-exchange transactions.  The firm with which you conduct your transactions may be acting as your counter party to the transaction.  It may be difficult or impossible to liquidate an existing position, to assess the value, to determine a fair price or to assess the exposure to risk.  For these reasons, these transactions may involve increased risks.  Off-exchange transactions may be less regulated or subject to a separate regulatory regime.  Before you undertake such transactions, you should familiarize yourself with applicable rules and attendant risks.</w:t>
      </w:r>
    </w:p>
    <w:p>
      <w:pPr>
        <w:pStyle w:val="Normal"/>
        <w:tabs>
          <w:tab w:val="clear" w:pos="720"/>
          <w:tab w:val="left" w:pos="810" w:leader="none"/>
        </w:tabs>
        <w:ind w:hanging="810" w:start="810" w:end="0"/>
        <w:rPr>
          <w:sz w:val="20"/>
        </w:rPr>
      </w:pPr>
      <w:r>
        <w:rPr>
          <w:sz w:val="20"/>
        </w:rPr>
      </w:r>
      <w:r>
        <w:br w:type="page"/>
      </w:r>
    </w:p>
    <w:p>
      <w:pPr>
        <w:pStyle w:val="Normal"/>
        <w:rPr>
          <w:sz w:val="20"/>
        </w:rPr>
      </w:pPr>
      <w:r>
        <w:rPr>
          <w:b/>
          <w:sz w:val="28"/>
        </w:rPr>
        <w:t>SGX-DT  Exclusion of Liability</w:t>
      </w:r>
    </w:p>
    <w:p>
      <w:pPr>
        <w:pStyle w:val="Normal"/>
        <w:rPr>
          <w:sz w:val="20"/>
        </w:rPr>
      </w:pPr>
      <w:r>
        <w:rPr>
          <w:sz w:val="20"/>
        </w:rPr>
      </w:r>
    </w:p>
    <w:p>
      <w:pPr>
        <w:pStyle w:val="Normal"/>
        <w:rPr>
          <w:sz w:val="20"/>
        </w:rPr>
      </w:pPr>
      <w:r>
        <w:rPr>
          <w:sz w:val="20"/>
        </w:rPr>
        <w:t>The following is being provided to you in accordance with the regulations of the Singapore  Exchange Derivatives Trading Limited (SGX-DT).</w:t>
      </w:r>
    </w:p>
    <w:p>
      <w:pPr>
        <w:pStyle w:val="Normal"/>
        <w:widowControl w:val="false"/>
        <w:jc w:val="center"/>
        <w:rPr>
          <w:sz w:val="20"/>
        </w:rPr>
      </w:pPr>
      <w:r>
        <w:rPr>
          <w:sz w:val="20"/>
        </w:rPr>
      </w:r>
    </w:p>
    <w:p>
      <w:pPr>
        <w:pStyle w:val="Normal"/>
        <w:widowControl w:val="false"/>
        <w:numPr>
          <w:ilvl w:val="0"/>
          <w:numId w:val="4"/>
        </w:numPr>
        <w:rPr>
          <w:sz w:val="20"/>
        </w:rPr>
      </w:pPr>
      <w:r>
        <w:rPr>
          <w:sz w:val="20"/>
        </w:rPr>
        <w:t>The Exchange maintains a futures market subject to the provisions of the Futures Trading Act and its business Rules and on the basis that unless it (whether directly or through its Board or its authorized officer or officers) otherwise expressly agrees with or expressly commits itself to any party (hereafter referred to as a “Third Party”), its liability to any Third Party affected or aggrieved by any alleged action or non-action of the Exchange, the Clearing House or any of the directors or officers of the Exchange or the Clearing House is restricted to only such remedy or remedies as is expressly conferred on a Third Party by the provisions of the Futures Trading Act.</w:t>
        <w:br/>
      </w:r>
    </w:p>
    <w:p>
      <w:pPr>
        <w:pStyle w:val="Normal"/>
        <w:widowControl w:val="false"/>
        <w:numPr>
          <w:ilvl w:val="0"/>
          <w:numId w:val="4"/>
        </w:numPr>
        <w:rPr>
          <w:b/>
          <w:sz w:val="20"/>
          <w:u w:val="single"/>
        </w:rPr>
      </w:pPr>
      <w:r>
        <w:rPr>
          <w:sz w:val="20"/>
        </w:rPr>
        <w:t>Any and every Third Party who effects or purports to effect any transaction:</w:t>
      </w:r>
    </w:p>
    <w:p>
      <w:pPr>
        <w:pStyle w:val="Normal"/>
        <w:widowControl w:val="false"/>
        <w:rPr>
          <w:b/>
          <w:sz w:val="20"/>
          <w:u w:val="single"/>
        </w:rPr>
      </w:pPr>
      <w:r>
        <w:rPr>
          <w:b/>
          <w:sz w:val="20"/>
          <w:u w:val="single"/>
        </w:rPr>
      </w:r>
    </w:p>
    <w:p>
      <w:pPr>
        <w:pStyle w:val="Normal"/>
        <w:widowControl w:val="false"/>
        <w:numPr>
          <w:ilvl w:val="0"/>
          <w:numId w:val="3"/>
        </w:numPr>
        <w:rPr>
          <w:sz w:val="20"/>
        </w:rPr>
      </w:pPr>
      <w:r>
        <w:rPr>
          <w:sz w:val="20"/>
        </w:rPr>
        <w:t>on the Exchange;</w:t>
        <w:br/>
      </w:r>
    </w:p>
    <w:p>
      <w:pPr>
        <w:pStyle w:val="Normal"/>
        <w:widowControl w:val="false"/>
        <w:numPr>
          <w:ilvl w:val="0"/>
          <w:numId w:val="3"/>
        </w:numPr>
        <w:rPr>
          <w:b/>
          <w:sz w:val="20"/>
          <w:u w:val="single"/>
        </w:rPr>
      </w:pPr>
      <w:r>
        <w:rPr>
          <w:sz w:val="20"/>
        </w:rPr>
        <w:t>referable to any Contract; or</w:t>
        <w:br/>
      </w:r>
    </w:p>
    <w:p>
      <w:pPr>
        <w:pStyle w:val="Normal"/>
        <w:widowControl w:val="false"/>
        <w:numPr>
          <w:ilvl w:val="0"/>
          <w:numId w:val="3"/>
        </w:numPr>
        <w:rPr>
          <w:b/>
          <w:sz w:val="20"/>
          <w:u w:val="single"/>
        </w:rPr>
      </w:pPr>
      <w:r>
        <w:rPr>
          <w:sz w:val="20"/>
        </w:rPr>
        <w:t>referable to any information promulgated or provided by, via or on the Exchange,</w:t>
      </w:r>
    </w:p>
    <w:p>
      <w:pPr>
        <w:pStyle w:val="Normal"/>
        <w:widowControl w:val="false"/>
        <w:tabs>
          <w:tab w:val="clear" w:pos="720"/>
          <w:tab w:val="left" w:pos="360" w:leader="none"/>
        </w:tabs>
        <w:rPr>
          <w:sz w:val="20"/>
        </w:rPr>
      </w:pPr>
      <w:r>
        <w:rPr>
          <w:sz w:val="20"/>
        </w:rPr>
        <w:tab/>
      </w:r>
    </w:p>
    <w:p>
      <w:pPr>
        <w:pStyle w:val="BodyText"/>
        <w:widowControl w:val="false"/>
        <w:tabs>
          <w:tab w:val="clear" w:pos="720"/>
          <w:tab w:val="left" w:pos="360" w:leader="none"/>
        </w:tabs>
        <w:rPr/>
      </w:pPr>
      <w:r>
        <w:rPr/>
        <w:tab/>
        <w:t xml:space="preserve">will be assumed and deemed to do so by the Exchange, its directors and officers on the basis that </w:t>
        <w:tab/>
        <w:t xml:space="preserve">unless the Exchange otherwise (whether directly or through its Board or authorized officer or officers) </w:t>
        <w:tab/>
        <w:t xml:space="preserve">expressly agrees with or expressly commits itself to such </w:t>
        <w:tab/>
        <w:t xml:space="preserve">Third Party the right of action conferred by or </w:t>
        <w:tab/>
        <w:t xml:space="preserve">under the provisions of the Futures Trading Act shall be the sole and exclusive remedy available to </w:t>
        <w:tab/>
        <w:t xml:space="preserve">such Third Party who suffers loss as a result of any alleged failure of the Exchange or the Clearing House </w:t>
        <w:tab/>
        <w:t xml:space="preserve">or any of its directors or employees to take any action or any alleged taking of any action. Each of the </w:t>
        <w:tab/>
        <w:t xml:space="preserve">Exchange, the Clearing House and its directors and employees will not and do not accept (subject to the </w:t>
        <w:tab/>
        <w:t xml:space="preserve">provision stated in the preceding sentence and in Rule 100.1 above) any responsibility to any Third Party </w:t>
        <w:tab/>
        <w:t xml:space="preserve">the breach of which will give rise to any liability in addition to the exclusive remedy mentioned in the </w:t>
        <w:tab/>
        <w:t>preceding sentence.</w:t>
      </w:r>
    </w:p>
    <w:p>
      <w:pPr>
        <w:pStyle w:val="Normal"/>
        <w:widowControl w:val="false"/>
        <w:tabs>
          <w:tab w:val="clear" w:pos="720"/>
          <w:tab w:val="left" w:pos="360" w:leader="none"/>
        </w:tabs>
        <w:rPr>
          <w:sz w:val="20"/>
        </w:rPr>
      </w:pPr>
      <w:r>
        <w:rPr>
          <w:sz w:val="20"/>
        </w:rPr>
      </w:r>
    </w:p>
    <w:p>
      <w:pPr>
        <w:pStyle w:val="Normal"/>
        <w:widowControl w:val="false"/>
        <w:numPr>
          <w:ilvl w:val="0"/>
          <w:numId w:val="6"/>
        </w:numPr>
        <w:tabs>
          <w:tab w:val="clear" w:pos="720"/>
          <w:tab w:val="left" w:pos="360" w:leader="none"/>
        </w:tabs>
        <w:jc w:val="both"/>
        <w:rPr>
          <w:sz w:val="20"/>
        </w:rPr>
      </w:pPr>
      <w:r>
        <w:rPr>
          <w:sz w:val="20"/>
        </w:rPr>
        <w:t>Without prejudice to any of the above provisions and in addition to them each and every Third Party should and must note that in connection with any index listed or to be listed by the Exchange for trading in or in connection or by reference therewith, none of:</w:t>
      </w:r>
    </w:p>
    <w:p>
      <w:pPr>
        <w:pStyle w:val="Normal"/>
        <w:widowControl w:val="false"/>
        <w:tabs>
          <w:tab w:val="clear" w:pos="720"/>
          <w:tab w:val="left" w:pos="360" w:leader="none"/>
        </w:tabs>
        <w:rPr>
          <w:sz w:val="20"/>
        </w:rPr>
      </w:pPr>
      <w:r>
        <w:rPr>
          <w:sz w:val="20"/>
        </w:rPr>
      </w:r>
    </w:p>
    <w:p>
      <w:pPr>
        <w:pStyle w:val="Normal"/>
        <w:widowControl w:val="false"/>
        <w:numPr>
          <w:ilvl w:val="0"/>
          <w:numId w:val="7"/>
        </w:numPr>
        <w:tabs>
          <w:tab w:val="clear" w:pos="720"/>
          <w:tab w:val="left" w:pos="360" w:leader="none"/>
        </w:tabs>
        <w:rPr>
          <w:sz w:val="20"/>
        </w:rPr>
      </w:pPr>
      <w:r>
        <w:rPr>
          <w:sz w:val="20"/>
        </w:rPr>
        <w:t>the Exchange;</w:t>
        <w:br/>
      </w:r>
    </w:p>
    <w:p>
      <w:pPr>
        <w:pStyle w:val="Normal"/>
        <w:widowControl w:val="false"/>
        <w:numPr>
          <w:ilvl w:val="0"/>
          <w:numId w:val="7"/>
        </w:numPr>
        <w:tabs>
          <w:tab w:val="clear" w:pos="720"/>
          <w:tab w:val="left" w:pos="360" w:leader="none"/>
        </w:tabs>
        <w:rPr>
          <w:sz w:val="20"/>
        </w:rPr>
      </w:pPr>
      <w:r>
        <w:rPr>
          <w:sz w:val="20"/>
        </w:rPr>
        <w:t>its directors or officers; or</w:t>
        <w:br/>
      </w:r>
    </w:p>
    <w:p>
      <w:pPr>
        <w:pStyle w:val="Normal"/>
        <w:widowControl w:val="false"/>
        <w:numPr>
          <w:ilvl w:val="0"/>
          <w:numId w:val="7"/>
        </w:numPr>
        <w:tabs>
          <w:tab w:val="clear" w:pos="720"/>
          <w:tab w:val="left" w:pos="360" w:leader="none"/>
        </w:tabs>
        <w:rPr>
          <w:sz w:val="20"/>
        </w:rPr>
      </w:pPr>
      <w:r>
        <w:rPr>
          <w:sz w:val="20"/>
        </w:rPr>
        <w:t>any relevant party that the Exchange may contract with for the supply of the index or information in relation thereto,</w:t>
      </w:r>
    </w:p>
    <w:p>
      <w:pPr>
        <w:pStyle w:val="Normal"/>
        <w:widowControl w:val="false"/>
        <w:tabs>
          <w:tab w:val="clear" w:pos="720"/>
          <w:tab w:val="left" w:pos="360" w:leader="none"/>
        </w:tabs>
        <w:jc w:val="both"/>
        <w:rPr>
          <w:sz w:val="20"/>
        </w:rPr>
      </w:pPr>
      <w:r>
        <w:rPr>
          <w:sz w:val="20"/>
        </w:rPr>
      </w:r>
    </w:p>
    <w:p>
      <w:pPr>
        <w:pStyle w:val="BodyText2"/>
        <w:widowControl w:val="false"/>
        <w:tabs>
          <w:tab w:val="clear" w:pos="288"/>
          <w:tab w:val="clear" w:pos="1008"/>
          <w:tab w:val="clear" w:pos="1728"/>
          <w:tab w:val="clear" w:pos="2448"/>
          <w:tab w:val="clear" w:pos="3168"/>
          <w:tab w:val="clear" w:pos="3888"/>
          <w:tab w:val="clear" w:pos="4608"/>
          <w:tab w:val="clear" w:pos="5328"/>
          <w:tab w:val="clear" w:pos="6048"/>
          <w:tab w:val="clear" w:pos="6768"/>
          <w:tab w:val="clear" w:pos="7488"/>
          <w:tab w:val="clear" w:pos="8208"/>
          <w:tab w:val="left" w:pos="360" w:leader="none"/>
        </w:tabs>
        <w:jc w:val="both"/>
        <w:rPr/>
      </w:pPr>
      <w:r>
        <w:rPr/>
        <w:tab/>
        <w:t xml:space="preserve">(each of the foregoing a “Relevant Party”) assume any obligation or liability in connection with the </w:t>
        <w:tab/>
        <w:t xml:space="preserve">trading of any contract based on such index.  Accordingly,  none of the foregoing parties shall be in any </w:t>
        <w:tab/>
        <w:t xml:space="preserve">way responsible for any losses, expenses or damages (in all cases direct or indirect) arising in connection </w:t>
        <w:tab/>
        <w:t xml:space="preserve">with or referable to the trading of any contract linked or referable to the said index, provided that nothing </w:t>
        <w:tab/>
        <w:t xml:space="preserve">herein shall affect either the obligations of the Exchange (or its Clearing House) or its Members as parties </w:t>
        <w:tab/>
        <w:t xml:space="preserve">trading in any contract so linked or referable.  None of the Relevant Parties guarantee or warrant or </w:t>
        <w:tab/>
        <w:t xml:space="preserve">undertake in any manner the accuracy or completeness of any such index or any information or data </w:t>
        <w:tab/>
        <w:t>included in or referable to it.</w:t>
      </w:r>
    </w:p>
    <w:p>
      <w:pPr>
        <w:pStyle w:val="Normal"/>
        <w:widowControl w:val="false"/>
        <w:tabs>
          <w:tab w:val="clear" w:pos="720"/>
          <w:tab w:val="left" w:pos="360" w:leader="none"/>
        </w:tabs>
        <w:jc w:val="both"/>
        <w:rPr>
          <w:sz w:val="20"/>
        </w:rPr>
      </w:pPr>
      <w:r>
        <w:rPr>
          <w:sz w:val="20"/>
        </w:rPr>
      </w:r>
    </w:p>
    <w:p>
      <w:pPr>
        <w:pStyle w:val="BodyText2"/>
        <w:widowControl w:val="false"/>
        <w:tabs>
          <w:tab w:val="clear" w:pos="288"/>
          <w:tab w:val="clear" w:pos="1008"/>
          <w:tab w:val="clear" w:pos="1728"/>
          <w:tab w:val="clear" w:pos="2448"/>
          <w:tab w:val="clear" w:pos="3168"/>
          <w:tab w:val="clear" w:pos="3888"/>
          <w:tab w:val="clear" w:pos="4608"/>
          <w:tab w:val="clear" w:pos="5328"/>
          <w:tab w:val="clear" w:pos="6048"/>
          <w:tab w:val="clear" w:pos="6768"/>
          <w:tab w:val="clear" w:pos="7488"/>
          <w:tab w:val="clear" w:pos="8208"/>
          <w:tab w:val="left" w:pos="360" w:leader="none"/>
        </w:tabs>
        <w:rPr/>
      </w:pPr>
      <w:r>
        <w:rPr/>
        <w:tab/>
        <w:t xml:space="preserve">NONE OF THE RELEVANT PARTIES MAKES ANY WARRANTY OR GIVES ANY GUARANTEE </w:t>
        <w:tab/>
        <w:t xml:space="preserve">OR UNDERTAKING EXPRESS OR IMPLIED, AS TO THE ACCURACY OR COMPLETENESS OF, </w:t>
        <w:tab/>
        <w:t xml:space="preserve">OR THE RESULTS TO BE OBTAINED BY ANY PERSON OR ENTITY FROM THE USE OF ANY </w:t>
        <w:tab/>
        <w:t xml:space="preserve">SUCH INDEX, AND INTRA-DAY PROXY RELATED OR REFERABLE THERETO OR ANY </w:t>
        <w:tab/>
        <w:t xml:space="preserve">INFORMATION OR DATA INCLUDED IN OR REFERABLE TO IT IN CONNECTION WITH ANY </w:t>
        <w:tab/>
        <w:t xml:space="preserve">TRADING OF ANY CONTRACTS OR FOR ANY OTHER USE.  NONE OF THE RELEVANT </w:t>
        <w:tab/>
        <w:t xml:space="preserve">PARTIES MAKES ANY EXPRESS OR IMPLIED WARRANTY OF MERCHANTABILITY OR </w:t>
        <w:tab/>
        <w:t xml:space="preserve">FITNESS FOR ANY </w:t>
        <w:tab/>
        <w:t xml:space="preserve">PARTICULAR PURPOSE WITH RESPECT TO ANY SUCH INDEX,  ANY </w:t>
        <w:tab/>
        <w:t xml:space="preserve">INTRA-DAY PROXY RELATED OR REFERABLE THERETO OR ANY INFORMATION OR </w:t>
        <w:tab/>
        <w:t>DATA INCLUDED IN OR REFERABLE TO ANY SUCH INDEX.</w:t>
      </w:r>
    </w:p>
    <w:p>
      <w:pPr>
        <w:pStyle w:val="Normal"/>
        <w:widowControl w:val="false"/>
        <w:tabs>
          <w:tab w:val="clear" w:pos="720"/>
          <w:tab w:val="left" w:pos="360" w:leader="none"/>
        </w:tabs>
        <w:rPr>
          <w:sz w:val="20"/>
        </w:rPr>
      </w:pPr>
      <w:r>
        <w:rPr>
          <w:sz w:val="20"/>
        </w:rPr>
      </w:r>
    </w:p>
    <w:p>
      <w:pPr>
        <w:pStyle w:val="Normal"/>
        <w:widowControl w:val="false"/>
        <w:numPr>
          <w:ilvl w:val="0"/>
          <w:numId w:val="8"/>
        </w:numPr>
        <w:tabs>
          <w:tab w:val="clear" w:pos="720"/>
          <w:tab w:val="left" w:pos="360" w:leader="none"/>
        </w:tabs>
        <w:jc w:val="both"/>
        <w:rPr/>
      </w:pPr>
      <w:r>
        <w:rPr>
          <w:sz w:val="20"/>
        </w:rPr>
        <w:t>In accordance with SIMEX regulations, J.P. Morgan Futures Inc. may not open or allow the continued operation of any account unless the account has been notified of and accepted the foregoing provisions.  Please contact your J.P. Morgan Futures Inc. account representative immediately if you do not accept these provisions.</w:t>
      </w:r>
      <w:r>
        <w:br w:type="page"/>
      </w:r>
    </w:p>
    <w:p>
      <w:pPr>
        <w:pStyle w:val="Normal"/>
        <w:spacing w:before="0" w:after="240"/>
        <w:rPr/>
      </w:pPr>
      <w:r>
        <w:rPr>
          <w:b/>
          <w:sz w:val="26"/>
        </w:rPr>
        <w:t>NYMEX</w:t>
      </w:r>
      <w:r>
        <w:rPr/>
        <w:t xml:space="preserve"> </w:t>
      </w:r>
      <w:r>
        <w:rPr>
          <w:b/>
          <w:sz w:val="26"/>
        </w:rPr>
        <w:t>Specialist Market Maker Customer Information Statement</w:t>
      </w:r>
    </w:p>
    <w:p>
      <w:pPr>
        <w:pStyle w:val="BodyText2"/>
        <w:tabs>
          <w:tab w:val="clear" w:pos="288"/>
          <w:tab w:val="clear" w:pos="1008"/>
          <w:tab w:val="clear" w:pos="1728"/>
          <w:tab w:val="clear" w:pos="2448"/>
          <w:tab w:val="clear" w:pos="3168"/>
          <w:tab w:val="clear" w:pos="3888"/>
          <w:tab w:val="clear" w:pos="4608"/>
          <w:tab w:val="clear" w:pos="5328"/>
          <w:tab w:val="clear" w:pos="6048"/>
          <w:tab w:val="clear" w:pos="6768"/>
          <w:tab w:val="clear" w:pos="7488"/>
          <w:tab w:val="clear" w:pos="8208"/>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t>The New York Mercantile Exchange’s (“NYMEX” or “Exchange”) Specialist Market Maker program is intended to facilitate the development of mature, liquid markets in new and/or low volume Exchange contracts by establishing a Specialist Market Maker (“SMM”) facility in such contracts.  The purpose of this Customer Information Statement is to advise market participants of certain features of NYMEX’s SMM program that may distinguish trading activity occurring in contracts with an SMM facility from trading activity occurring in contracts that do not have such a facility.  As a matter of Exchange policy, a futures commission merchant must provide a customer with this SMM Customer Information Statement prior to accepting an initial order from that customer for any Exchange contract that has a SMM facility in operation.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As noted below, a floor broker could transfer a customer Limit Order to the SMM for execution, and, thereafter, either the SMM or that floor broker, under certain circumstances, could trade opposite that customer order.  Under regulations promulgated by the Commodity Futures Trading Commission (“CFTC”), neither a futures commission merchant nor an executing broker may take the opposite side of a customer order revealed to them without the prior consent of the customer.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Therefore, consistent with the CFTC requirement, if a customer had not previously provided consent to trading opposite that customer’s order, a futures commission merchant must obtain such consent from that customer prior to accepting an order from that customer, in any Exchange contract that has a SMM facility in operation, if that order is to be given to the SMM for execution.  A customer who has provided the general consent required by the CFTC and who places an order with a floor broker, for execution in a NYMEX contract market that has been designated with a SMM facility, will be deemed to have consented to the possibility that the SMM or the floor broker may trade opposite that customer order.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The SMM, who has contracted with NYMEX to provide this facility, generally will make a market for a number of contracts and within a bid-ask spread as specified by agreement with the Exchange.  In addition, a Limit Order Book will be maintained, comprised of non-discretionary limit orders that had been placed with the SMM facility for execution.  The SMM facility is intended to provide a service to market users during the transitional period in which a market develops into a mature and liquid market; at that point, the services of the SMM no longer would be necessary and the SMM facility would be discontinued.</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This brief Statement, however, cannot describe all aspects of the SMM program.  Therefore, market users should review the full set of By-laws, Rules and Resolutions, as applicable, of NYMEX and/or Commodity Exchange, Inc. (“COMEX”), a wholly-owned subsidiary of the Exchange.  Market users also should contact their brokers or NYMEX for any further information on this program that may be needed in order to evaluate participating in trading in any Exchange contract with an SMM facility in operation.</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t>In particular, customers who are considering trading in an Exchange futures or option contract that has an SMM facility, whether on the NYMEX Division or the COMEX Division, should be aware of the following:</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t>when executing orders placed in the Limit Order Book, such as orders placed by customers, the SMM, on behalf of these customers, shall receive a right of priority for such limit orders, to the extent specified by the Exchange, over all other trades that take place on the SMM’s bid or offer;</w:t>
        <w:b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t>an SMM shall have the option to exercise rights of trading priority, in percentages established by agreement with the Exchange, for its proprietary account in certain circumstances, including the right to participate on the same side of the market as a Limit Order, the right to participate in a cross trade opposite a Limit Order, and the right to participate in a trade(s) not involving the Limit Order Book when the trade(s) occurred on the SMM’s bid or offer;</w:t>
        <w:b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t>the SMM’s exercise of a trading priority could result in a customer obtaining a lesser number of contracts in a particular trade than the number of contracts that had been executed in the ring in that trade;</w:t>
        <w:b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t>a Floor Broker could submit a Limit Order for that broker’s proprietary account for entry in the SMM’s Limit Order Book, and the SMM, in executing that Limit Order, possibly might execute a trade with that Floor Broker who was then trading for a customer order;</w:t>
        <w:b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t>the SMM, in executing a customer Limit Order forwarded to the SMM facility by a particular Floor Broker, possibly might execute a trade with the Floor Broker when that broker was trading for the broker’s proprietary account.</w:t>
        <w:b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t>the SMM may trade against the customer order; and</w:t>
        <w:br/>
      </w:r>
    </w:p>
    <w:p>
      <w:pPr>
        <w:pStyle w:val="Normal"/>
        <w:numPr>
          <w:ilvl w:val="0"/>
          <w:numId w:val="2"/>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0"/>
        </w:rPr>
      </w:pPr>
      <w:r>
        <w:rPr>
          <w:sz w:val="20"/>
        </w:rPr>
        <w:t>the customer may choose not to place an order with the SMM facility.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0"/>
        </w:rPr>
      </w:pPr>
      <w:r>
        <w:rPr>
          <w:sz w:val="20"/>
        </w:rPr>
      </w:r>
    </w:p>
    <w:p>
      <w:pPr>
        <w:pStyle w:val="BodyText2"/>
        <w:tabs>
          <w:tab w:val="clear" w:pos="288"/>
          <w:tab w:val="clear" w:pos="1008"/>
          <w:tab w:val="clear" w:pos="1728"/>
          <w:tab w:val="clear" w:pos="2448"/>
          <w:tab w:val="clear" w:pos="3168"/>
          <w:tab w:val="clear" w:pos="3888"/>
          <w:tab w:val="clear" w:pos="4608"/>
          <w:tab w:val="clear" w:pos="5328"/>
          <w:tab w:val="clear" w:pos="6048"/>
          <w:tab w:val="clear" w:pos="6768"/>
          <w:tab w:val="clear" w:pos="7488"/>
          <w:tab w:val="clear" w:pos="8208"/>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t>Except as otherwise provided, the SMM and other Floor Brokers continue to remain subject to CFTC and Exchange floor trading restrictions and thus are absolutely prohibited from engaging in preferential trading.  Also, any trade involving the SMM and any other Floor Member must be executed openly and competitively by open outcry.</w:t>
      </w:r>
    </w:p>
    <w:p>
      <w:pPr>
        <w:pStyle w:val="Normal"/>
        <w:tabs>
          <w:tab w:val="clear" w:pos="720"/>
          <w:tab w:val="left" w:pos="810" w:leader="none"/>
        </w:tabs>
        <w:ind w:hanging="810" w:start="810" w:end="0"/>
        <w:jc w:val="both"/>
        <w:rPr>
          <w:sz w:val="20"/>
        </w:rPr>
      </w:pPr>
      <w:r>
        <w:rPr>
          <w:sz w:val="20"/>
        </w:rPr>
      </w:r>
      <w:r>
        <w:br w:type="page"/>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both"/>
        <w:rPr>
          <w:b/>
          <w:sz w:val="26"/>
        </w:rPr>
      </w:pPr>
      <w:r>
        <w:rPr>
          <w:b/>
          <w:sz w:val="26"/>
        </w:rPr>
        <w:t>Non-U.S. Customer Information:</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both"/>
        <w:rPr>
          <w:sz w:val="26"/>
        </w:rPr>
      </w:pPr>
      <w:r>
        <w:rPr>
          <w:b/>
          <w:sz w:val="26"/>
        </w:rPr>
        <w:t>Designation of Agent and Special Calls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both"/>
        <w:rPr>
          <w:sz w:val="26"/>
        </w:rPr>
      </w:pPr>
      <w:r>
        <w:rPr>
          <w:sz w:val="26"/>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b/>
          <w:sz w:val="20"/>
        </w:rPr>
      </w:pPr>
      <w:r>
        <w:rPr>
          <w:b/>
          <w:sz w:val="20"/>
        </w:rPr>
        <w:t>We are required by law to inform you of the requirements of Commodity Futures Trading Commission ("CFTC") regulation 15.05, which among other things provides that the CFTC will treat J.P. Morgan Futures Inc. ("Morgan Futures") as your agent for the service of any communication (including any summons, com</w:t>
        <w:softHyphen/>
        <w:t>plaint, order subpoena, special call, request for information, notice as well as any other written document or correspon</w:t>
        <w:softHyphen/>
        <w:t>dence) from the CFTC to you, unless you provide Morgan Futures with a written agreement designating another person domiciled in the United States as your agent for this purpose.</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b/>
          <w:sz w:val="20"/>
        </w:rPr>
      </w:pPr>
      <w:r>
        <w:rPr>
          <w:b/>
          <w:sz w:val="20"/>
        </w:rPr>
      </w:r>
    </w:p>
    <w:p>
      <w:pPr>
        <w:pStyle w:val="BodyText3"/>
        <w:rPr/>
      </w:pPr>
      <w:r>
        <w:rPr/>
        <w:t>We are also required to explain to our foreign clients the provisions of CFTC regulation 21.03, which relates to special calls the CFTC may issue.  These calls may seek information from Morgan Futures and its clients concerning the activity in and ownership of the client's account.  That information may be required if the CFTC believes it needs the information to determine if a market problem exists or is developing.  Failure on the part of a foreign client to respond to a special call from the CFTC may result in the CFTC placing a liquidation-only limitation on trading by the client in the contract which is the subject matter of the special call.  If any such limitation is placed on an account, the client is entitled to a hearing after the fact.</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b/>
          <w:sz w:val="20"/>
        </w:rPr>
      </w:pPr>
      <w:r>
        <w:rPr>
          <w:b/>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both"/>
        <w:rPr>
          <w:b/>
          <w:sz w:val="20"/>
        </w:rPr>
      </w:pPr>
      <w:r>
        <w:rPr>
          <w:b/>
          <w:sz w:val="20"/>
        </w:rPr>
        <w:t>The texts of both regulations follow.  Please review them carefully.</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both"/>
        <w:rPr>
          <w:b/>
          <w:sz w:val="20"/>
        </w:rPr>
      </w:pPr>
      <w:r>
        <w:rPr>
          <w:b/>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b/>
          <w:sz w:val="26"/>
        </w:rPr>
      </w:pPr>
      <w:r>
        <w:rPr>
          <w:b/>
          <w:sz w:val="26"/>
        </w:rPr>
        <w:t>17 Code of Federal Regulations Section 15.05</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b/>
          <w:sz w:val="26"/>
        </w:rPr>
      </w:pPr>
      <w:r>
        <w:rPr>
          <w:b/>
          <w:sz w:val="26"/>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6"/>
        </w:rPr>
        <w:t>Designation of a Futures Commission Merchant or Introducing Broker to be the Agent of Foreign Brokers, Customers of a Foreign Broker, and Foreign Traders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rPr>
          <w:b/>
          <w:sz w:val="20"/>
        </w:rPr>
      </w:pPr>
      <w:r>
        <w:rPr>
          <w:b/>
          <w:sz w:val="20"/>
        </w:rPr>
      </w:r>
    </w:p>
    <w:p>
      <w:pPr>
        <w:pStyle w:val="Normal"/>
        <w:tabs>
          <w:tab w:val="clear" w:pos="720"/>
          <w:tab w:val="left" w:pos="450" w:leader="none"/>
          <w:tab w:val="left" w:pos="10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450" w:end="0"/>
        <w:jc w:val="both"/>
        <w:rPr>
          <w:sz w:val="20"/>
        </w:rPr>
      </w:pPr>
      <w:r>
        <w:rPr>
          <w:sz w:val="20"/>
        </w:rPr>
        <w:t>(a)</w:t>
        <w:tab/>
        <w:t>For purposes of this section, the term "futures contract" means any contract for the purchase or sale of any commodity for future delivery traded or executed on or subject to the rules of any contract market; the term "option contract" means any contract for the purchase or sale of a commodity option traded or executed on or subject to the rules of any contract market; the term "customer" means any person for whose benefit a foreign broker makes or causes to be made any futures contract or option contract; and the term "communication" means any summons, complaint, order, subpoena, special call, request for information, or notice, as well as any other written document or correspondence.</w:t>
      </w:r>
    </w:p>
    <w:p>
      <w:pPr>
        <w:pStyle w:val="Normal"/>
        <w:tabs>
          <w:tab w:val="clear" w:pos="720"/>
          <w:tab w:val="left" w:pos="288" w:leader="none"/>
          <w:tab w:val="left" w:pos="100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0"/>
        </w:rPr>
      </w:pPr>
      <w:r>
        <w:rPr>
          <w:sz w:val="20"/>
        </w:rPr>
      </w:r>
    </w:p>
    <w:p>
      <w:pPr>
        <w:pStyle w:val="Normal"/>
        <w:tabs>
          <w:tab w:val="clear" w:pos="720"/>
          <w:tab w:val="left" w:pos="450" w:leader="none"/>
          <w:tab w:val="left" w:pos="100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450" w:end="0"/>
        <w:jc w:val="both"/>
        <w:rPr>
          <w:sz w:val="20"/>
        </w:rPr>
      </w:pPr>
      <w:r>
        <w:rPr>
          <w:sz w:val="20"/>
        </w:rPr>
        <w:t>(b)</w:t>
        <w:tab/>
        <w:t>Any futures commission merchant who makes or causes to be made any futures contract or option contract for the account of any foreign broker or foreign trader, and any introducing broker who introduces such an account to a futures commission mer</w:t>
        <w:softHyphen/>
        <w:t>chant, shall thereupon be deemed to be the agent of the foreign broker or the foreign trader for purposes of accepting delivery and service of any communication issued by or on behalf of the Commission to the foreign broker or the foreign trader with respect to any futures or option contracts which are or have been maintained in such accounts carried by the futures commission merchant.  In the case of a futures commission merchant who makes or causes to be made any futures or option contract for the account of a foreign broker, the futures commis</w:t>
        <w:softHyphen/>
        <w:t>sion merchant and the introducing broker, if any, shall also be the agent of the customers of the foreign broker (including any customer who is also a foreign broker and its customers) who have positions in the foreign broker's futures or option contract account carried by the futures commission merchant for purposes of accepting delivery and service of any communication issued by or on behalf of the Commission to the customer with respect to any futures or option contracts which are or have been maintained in such accounts carried by the futures commission merchant.  Service or delivery of any communication issued by or on behalf of the Commission to a futures commission merchant or to an introducing broker pursuant to such agency shall constitute valid and effective service or delivery upon the foreign broker, a customer of the foreign broker or the foreign trader.  A futures commission merchant or an introducing broker who has been served with, or to whom there has been delivered, a communication issued by or on behalf of the Commission to a foreign broker, a customer of the foreign broker or the foreign trader shall transmit the communi</w:t>
        <w:softHyphen/>
        <w:t>cation promptly and in a manner which is reasonable under the circumstances, or in a manner specified by the Commission in the communication, to the foreign broker, a customer of the foreign broker or the foreign trader.</w:t>
      </w:r>
    </w:p>
    <w:p>
      <w:pPr>
        <w:pStyle w:val="Normal"/>
        <w:tabs>
          <w:tab w:val="clear" w:pos="720"/>
          <w:tab w:val="left" w:pos="288" w:leader="none"/>
          <w:tab w:val="left" w:pos="100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0"/>
        </w:rPr>
      </w:pPr>
      <w:r>
        <w:rPr>
          <w:sz w:val="20"/>
        </w:rPr>
      </w:r>
    </w:p>
    <w:p>
      <w:pPr>
        <w:pStyle w:val="Normal"/>
        <w:tabs>
          <w:tab w:val="clear" w:pos="720"/>
          <w:tab w:val="left" w:pos="450" w:leader="none"/>
          <w:tab w:val="left" w:pos="100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450" w:end="0"/>
        <w:jc w:val="both"/>
        <w:rPr>
          <w:sz w:val="20"/>
        </w:rPr>
      </w:pPr>
      <w:r>
        <w:rPr>
          <w:sz w:val="20"/>
        </w:rPr>
        <w:t>(c)</w:t>
        <w:tab/>
        <w:t>It shall be unlawful for any futures commission merchant and for any introducing broker to open or cause to be opened a futures or options contract account for, or to effect or cause to be effected transaction in futures contracts or option contracts for existing account of, a foreign broker or foreign trader unless the futures commission merchant or intro</w:t>
        <w:softHyphen/>
        <w:t>ducing broker informs the foreign broker or foreign trader prior thereto, in any reasonable manner which the futures commission merchant or introduc</w:t>
        <w:softHyphen/>
        <w:t>ing broker deems to be appropriate, of the requirements of this section.</w:t>
      </w:r>
    </w:p>
    <w:p>
      <w:pPr>
        <w:pStyle w:val="Normal"/>
        <w:tabs>
          <w:tab w:val="clear" w:pos="720"/>
          <w:tab w:val="left" w:pos="288" w:leader="none"/>
          <w:tab w:val="left" w:pos="100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0"/>
        </w:rPr>
      </w:pPr>
      <w:r>
        <w:rPr>
          <w:sz w:val="20"/>
        </w:rPr>
      </w:r>
    </w:p>
    <w:p>
      <w:pPr>
        <w:pStyle w:val="Normal"/>
        <w:tabs>
          <w:tab w:val="clear" w:pos="720"/>
          <w:tab w:val="left" w:pos="450" w:leader="none"/>
          <w:tab w:val="left" w:pos="1008"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450" w:start="450" w:end="0"/>
        <w:jc w:val="both"/>
        <w:rPr>
          <w:sz w:val="20"/>
        </w:rPr>
      </w:pPr>
      <w:r>
        <w:rPr>
          <w:sz w:val="20"/>
        </w:rPr>
        <w:t>(d)</w:t>
        <w:tab/>
        <w:t>The requirements of paragraphs (b) and (c) of this section shall not apply to any account carried by a futures commission merchant or introduced by an introducing broker if the foreign broker, customer of a foreign broker, or foreign trader for whose benefit such account is carried or introduced has duly executed and maintains in effect a written agency agreement in compliance with this paragraph with a person domiciled in the United States and has provided a copy of the agreement to the futures commission merchant and to the introduc</w:t>
        <w:softHyphen/>
        <w:t>ing broker, if any, prior to the opening of an account, or placing orders for transactions in futures contracts or option contracts of an existing account, with the futures commission merchant or introduc</w:t>
        <w:softHyphen/>
        <w:t>ing broker.  This agreement must authorize the person domiciled in the United States to serve as the agent of the foreign broker and customers of the foreign broker or the foreign trader for purposes of accepting delivery and service of all communications issued by or on behalf of the Commission to the foreign broker, customers of the foreign broker, or foreign trader and must provide an address in the United States where the agent will accept delivery and service of communications from the Commission.  This agreement must be filed with the Commission by the futures commission merchant or introducing broker prior to the opening of an account for the foreign broker or foreign trader or the effect</w:t>
        <w:softHyphen/>
        <w:t>ing of a transaction in futures or option contracts for an existing account of a foreign broker or foreign trader.  Unless otherwise specified by the Commis</w:t>
        <w:softHyphen/>
        <w:t>sion, the agreements required to be filed with the Commission shall be filed with the Secretary of the Commission at 2033 K Street N.W., Washington, D.C. 20581.  A foreign broker, customer of a foreign broker, or foreign trader shall notify the Commission immediately if the written agency agreement is terminated, revoked or is otherwise no longer in effect.  If a futures commission merchant carrying, or an introducing broker introducing, an account for a foreign broker or foreign trader knows or should know that the agreement has expired, has been terminated or is otherwise no longer in effect, the futures commission merchant or introducing broker shall notify the Secretary of the Commission immediately.  If the written agency agreement expires, terminates or is not in effect, the futures commission merchant, introducing broker, and the foreign broker, custom</w:t>
        <w:softHyphen/>
        <w:t xml:space="preserve">ers of the foreign broker, or foreign trader are subject to the provisions of paragraphs (b) and (c) of this section.  </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450" w:start="450" w:end="0"/>
        <w:jc w:val="both"/>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0"/>
        </w:rPr>
      </w:pPr>
      <w:r>
        <w:rPr>
          <w:sz w:val="20"/>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6"/>
        </w:rPr>
      </w:pPr>
      <w:r>
        <w:rPr>
          <w:sz w:val="20"/>
        </w:rPr>
        <w:tab/>
        <w:t>Effective August 3, 1983</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sz w:val="26"/>
        </w:rPr>
      </w:pPr>
      <w:r>
        <w:rPr>
          <w:sz w:val="26"/>
        </w:rPr>
      </w:r>
      <w:r>
        <w:br w:type="page"/>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b/>
          <w:sz w:val="26"/>
        </w:rPr>
      </w:pPr>
      <w:r>
        <w:rPr>
          <w:b/>
          <w:sz w:val="26"/>
        </w:rPr>
        <w:t>17 Code of Federal Regulations Section 21.03</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rPr>
          <w:b/>
          <w:sz w:val="26"/>
        </w:rPr>
      </w:pPr>
      <w:r>
        <w:rPr>
          <w:b/>
          <w:sz w:val="26"/>
        </w:rPr>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rPr>
          <w:b/>
          <w:sz w:val="20"/>
        </w:rPr>
      </w:pPr>
      <w:r>
        <w:rPr>
          <w:b/>
          <w:sz w:val="26"/>
        </w:rPr>
        <w:t>Selected Special Calls - Duties of Foreign Brokers, Domestic and Foreign Traders, Futures Commission Merchants, Introducing Brokers, and Contract Markets</w:t>
      </w:r>
    </w:p>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both"/>
        <w:rPr>
          <w:b/>
          <w:sz w:val="20"/>
        </w:rPr>
      </w:pPr>
      <w:r>
        <w:rPr>
          <w:b/>
          <w:sz w:val="20"/>
        </w:rPr>
      </w:r>
    </w:p>
    <w:p>
      <w:pPr>
        <w:pStyle w:val="Normal"/>
        <w:tabs>
          <w:tab w:val="clear" w:pos="720"/>
          <w:tab w:val="left" w:pos="450"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450" w:start="450" w:end="0"/>
        <w:jc w:val="both"/>
        <w:rPr>
          <w:sz w:val="20"/>
        </w:rPr>
      </w:pPr>
      <w:r>
        <w:rPr>
          <w:sz w:val="20"/>
        </w:rPr>
        <w:t>(a)</w:t>
        <w:tab/>
        <w:t>For purposes of this section, the term "accounts of a futures commission merchant or foreign broker" means all open contracts and transactions in futures and options on the records of the futures commission merchant or foreign broker; the term "beneficial interest" means having or sharing in any rights, obligations or financial interest in any futures or options account; the term "customer" means any futures commission merchant, introducing broker, foreign broker, or trader for whom a futures commission merchant makes or causes to be made a futures or options contract.  Paragraphs (e), (g) and (h) of this section shall not apply to any futures commission merchant or customer whose books and records are open at all times to inspection in the United States by a representative of the Commission.</w:t>
      </w:r>
    </w:p>
    <w:p>
      <w:pPr>
        <w:pStyle w:val="Normal"/>
        <w:tabs>
          <w:tab w:val="clear" w:pos="720"/>
          <w:tab w:val="left" w:pos="288"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720" w:start="720" w:end="0"/>
        <w:jc w:val="both"/>
        <w:rPr>
          <w:sz w:val="20"/>
        </w:rPr>
      </w:pPr>
      <w:r>
        <w:rPr>
          <w:sz w:val="20"/>
        </w:rPr>
      </w:r>
    </w:p>
    <w:p>
      <w:pPr>
        <w:pStyle w:val="Normal"/>
        <w:tabs>
          <w:tab w:val="clear" w:pos="720"/>
          <w:tab w:val="left" w:pos="450"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450" w:start="450" w:end="0"/>
        <w:jc w:val="both"/>
        <w:rPr>
          <w:sz w:val="20"/>
        </w:rPr>
      </w:pPr>
      <w:r>
        <w:rPr>
          <w:sz w:val="20"/>
        </w:rPr>
        <w:t>(b)</w:t>
        <w:tab/>
        <w:t>It shall be unlawful for a futures commission merchant to open a futures or options account or to effect transactions in futures or options contracts for an existing account, or for an introducing broker to introduce such an account, for any customer for whom the futures commission merchant or introducing broker is required to provide the explanation provided for in §15.05 (c) of this chapter until the futures commission merchant or introducing broker has explained fully to the customer, in any manner the futures commission merchant or introducing broker deems appropriate, the provisions of this section.</w:t>
      </w:r>
    </w:p>
    <w:p>
      <w:pPr>
        <w:pStyle w:val="Normal"/>
        <w:tabs>
          <w:tab w:val="clear" w:pos="720"/>
          <w:tab w:val="left" w:pos="288"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720" w:start="720" w:end="0"/>
        <w:jc w:val="both"/>
        <w:rPr>
          <w:sz w:val="20"/>
        </w:rPr>
      </w:pPr>
      <w:r>
        <w:rPr>
          <w:sz w:val="20"/>
        </w:rPr>
      </w:r>
    </w:p>
    <w:p>
      <w:pPr>
        <w:pStyle w:val="Normal"/>
        <w:tabs>
          <w:tab w:val="clear" w:pos="720"/>
          <w:tab w:val="left" w:pos="450"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450" w:start="450" w:end="0"/>
        <w:jc w:val="both"/>
        <w:rPr>
          <w:sz w:val="20"/>
        </w:rPr>
      </w:pPr>
      <w:r>
        <w:rPr>
          <w:sz w:val="20"/>
        </w:rPr>
        <w:t>(c)</w:t>
        <w:tab/>
        <w:t>Upon a determination by the Commission that information concerning accounts may be relevant information in enabling the Commission to determine whether the threat of a market manipulation, corner, squeeze, or other market disorder exists in any contract market, the Commission may issue a call for information from a futures commission merchant or customer pursuant to the provisions of this section.</w:t>
      </w:r>
    </w:p>
    <w:p>
      <w:pPr>
        <w:pStyle w:val="Normal"/>
        <w:tabs>
          <w:tab w:val="clear" w:pos="720"/>
          <w:tab w:val="left" w:pos="288"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720" w:start="720" w:end="0"/>
        <w:jc w:val="both"/>
        <w:rPr>
          <w:sz w:val="20"/>
        </w:rPr>
      </w:pPr>
      <w:r>
        <w:rPr>
          <w:sz w:val="20"/>
        </w:rPr>
      </w:r>
    </w:p>
    <w:p>
      <w:pPr>
        <w:pStyle w:val="Normal"/>
        <w:tabs>
          <w:tab w:val="clear" w:pos="720"/>
          <w:tab w:val="left" w:pos="450"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450" w:start="450" w:end="0"/>
        <w:jc w:val="both"/>
        <w:rPr>
          <w:sz w:val="20"/>
        </w:rPr>
      </w:pPr>
      <w:r>
        <w:rPr>
          <w:sz w:val="20"/>
        </w:rPr>
        <w:t>(d)</w:t>
        <w:tab/>
        <w:t>In the event the call is issued to a foreign broker or foreign trader, its agent, designated pursuant to §15.05 of this chapter, shall, if directed, promptly transmit calls made by the Commission pursuant to this section by telex or a similarly expeditious means of communication.</w:t>
      </w:r>
    </w:p>
    <w:p>
      <w:pPr>
        <w:pStyle w:val="Normal"/>
        <w:tabs>
          <w:tab w:val="clear" w:pos="720"/>
          <w:tab w:val="left" w:pos="288"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720" w:start="720" w:end="0"/>
        <w:jc w:val="both"/>
        <w:rPr>
          <w:sz w:val="20"/>
        </w:rPr>
      </w:pPr>
      <w:r>
        <w:rPr>
          <w:sz w:val="20"/>
        </w:rPr>
      </w:r>
    </w:p>
    <w:p>
      <w:pPr>
        <w:pStyle w:val="Normal"/>
        <w:tabs>
          <w:tab w:val="clear" w:pos="720"/>
          <w:tab w:val="left" w:pos="450"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450" w:start="450" w:end="0"/>
        <w:jc w:val="both"/>
        <w:rPr>
          <w:sz w:val="20"/>
        </w:rPr>
      </w:pPr>
      <w:r>
        <w:rPr>
          <w:sz w:val="20"/>
        </w:rPr>
        <w:t>(e)</w:t>
        <w:tab/>
        <w:t>The futures commission merchant, introducing broker, or customer to whom the special call is issued must provide to the Commission the information specified below for the commodity, contract market, and delivery months or option expiration dates names in the call.  Such information shall be filed at the place and within the time specified by the Commission.</w:t>
      </w:r>
    </w:p>
    <w:p>
      <w:pPr>
        <w:pStyle w:val="Normal"/>
        <w:tabs>
          <w:tab w:val="clear" w:pos="720"/>
          <w:tab w:val="left" w:pos="288" w:leader="none"/>
          <w:tab w:val="left" w:pos="1008" w:leader="none"/>
          <w:tab w:val="left" w:pos="2240" w:leader="none"/>
          <w:tab w:val="left" w:pos="2960" w:leader="none"/>
          <w:tab w:val="left" w:pos="3680" w:leader="none"/>
          <w:tab w:val="left" w:pos="4400" w:leader="none"/>
          <w:tab w:val="left" w:pos="5120" w:leader="none"/>
          <w:tab w:val="left" w:pos="5840" w:leader="none"/>
          <w:tab w:val="left" w:pos="6560" w:leader="none"/>
          <w:tab w:val="left" w:pos="7280" w:leader="none"/>
          <w:tab w:val="left" w:pos="8000" w:leader="none"/>
          <w:tab w:val="left" w:pos="8720" w:leader="none"/>
        </w:tabs>
        <w:ind w:hanging="720" w:start="720" w:end="0"/>
        <w:jc w:val="both"/>
        <w:rPr>
          <w:sz w:val="20"/>
        </w:rPr>
      </w:pPr>
      <w:r>
        <w:rPr>
          <w:sz w:val="20"/>
        </w:rPr>
      </w:r>
    </w:p>
    <w:p>
      <w:pPr>
        <w:pStyle w:val="Normal"/>
        <w:tabs>
          <w:tab w:val="clear" w:pos="720"/>
          <w:tab w:val="left" w:pos="288" w:leader="none"/>
          <w:tab w:val="left" w:pos="810" w:leader="none"/>
          <w:tab w:val="left" w:pos="3060" w:leader="none"/>
          <w:tab w:val="left" w:pos="3168" w:leader="none"/>
          <w:tab w:val="left" w:pos="3240" w:leader="none"/>
          <w:tab w:val="left" w:pos="3320" w:leader="none"/>
          <w:tab w:val="left" w:pos="3888" w:leader="none"/>
          <w:tab w:val="left" w:pos="4608" w:leader="none"/>
          <w:tab w:val="left" w:pos="5328" w:leader="none"/>
          <w:tab w:val="left" w:pos="6048" w:leader="none"/>
          <w:tab w:val="left" w:pos="6768" w:leader="none"/>
          <w:tab w:val="left" w:pos="7488" w:leader="none"/>
          <w:tab w:val="left" w:pos="8208" w:leader="none"/>
        </w:tabs>
        <w:ind w:hanging="360" w:start="810" w:end="0"/>
        <w:jc w:val="both"/>
        <w:rPr>
          <w:sz w:val="20"/>
        </w:rPr>
      </w:pPr>
      <w:r>
        <w:rPr>
          <w:sz w:val="20"/>
        </w:rPr>
        <w:t>(1)</w:t>
        <w:tab/>
        <w:t>For each account of a futures commission merchant, introducing broker, or foreign broker, including those accounts in the name of the futures commission merchant or foreign broker, on the dates specified in the call issued pursuant to this section, a futures commission merchant, introducing broker, or foreign broker shall provide the Commission with the following information:</w:t>
      </w:r>
    </w:p>
    <w:p>
      <w:pPr>
        <w:pStyle w:val="Normal"/>
        <w:tabs>
          <w:tab w:val="clear" w:pos="720"/>
          <w:tab w:val="left" w:pos="288" w:leader="none"/>
          <w:tab w:val="left" w:pos="1008" w:leader="none"/>
          <w:tab w:val="left" w:pos="3060" w:leader="none"/>
          <w:tab w:val="left" w:pos="3168" w:leader="none"/>
          <w:tab w:val="left" w:pos="3240" w:leader="none"/>
          <w:tab w:val="left" w:pos="3320" w:leader="none"/>
          <w:tab w:val="left" w:pos="3888" w:leader="none"/>
          <w:tab w:val="left" w:pos="4608" w:leader="none"/>
          <w:tab w:val="left" w:pos="5328" w:leader="none"/>
          <w:tab w:val="left" w:pos="6048" w:leader="none"/>
          <w:tab w:val="left" w:pos="6768" w:leader="none"/>
          <w:tab w:val="left" w:pos="7488" w:leader="none"/>
          <w:tab w:val="left" w:pos="8208" w:leader="none"/>
        </w:tabs>
        <w:ind w:hanging="720" w:start="720" w:end="0"/>
        <w:jc w:val="both"/>
        <w:rPr>
          <w:sz w:val="20"/>
        </w:rPr>
      </w:pPr>
      <w:r>
        <w:rPr>
          <w:sz w:val="20"/>
        </w:rPr>
      </w:r>
    </w:p>
    <w:p>
      <w:pPr>
        <w:pStyle w:val="Normal"/>
        <w:tabs>
          <w:tab w:val="clear" w:pos="720"/>
          <w:tab w:val="left" w:pos="81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360" w:start="1170" w:end="0"/>
        <w:jc w:val="both"/>
        <w:rPr>
          <w:sz w:val="20"/>
        </w:rPr>
      </w:pPr>
      <w:r>
        <w:rPr>
          <w:sz w:val="20"/>
        </w:rPr>
        <w:t>(i)</w:t>
        <w:tab/>
        <w:t>The name and address of the person in whose name the account is carried or introduced and, if the person is not an individual, the name of the individ</w:t>
        <w:softHyphen/>
        <w:t>ual to contact regarding the account;</w:t>
      </w:r>
    </w:p>
    <w:p>
      <w:pPr>
        <w:pStyle w:val="Normal"/>
        <w:tabs>
          <w:tab w:val="left" w:pos="720" w:leader="none"/>
          <w:tab w:val="left" w:pos="144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540" w:start="1980" w:end="0"/>
        <w:jc w:val="both"/>
        <w:rPr>
          <w:sz w:val="20"/>
        </w:rPr>
      </w:pPr>
      <w:r>
        <w:rPr>
          <w:sz w:val="20"/>
        </w:rPr>
      </w:r>
    </w:p>
    <w:p>
      <w:pPr>
        <w:pStyle w:val="Normal"/>
        <w:tabs>
          <w:tab w:val="left" w:pos="720" w:leader="none"/>
          <w:tab w:val="left" w:pos="117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1170" w:start="1980" w:end="0"/>
        <w:jc w:val="both"/>
        <w:rPr>
          <w:sz w:val="20"/>
        </w:rPr>
      </w:pPr>
      <w:r>
        <w:rPr>
          <w:sz w:val="20"/>
        </w:rPr>
        <w:t>(ii)</w:t>
        <w:tab/>
        <w:t>The total open futures and options contracts in the account;</w:t>
      </w:r>
    </w:p>
    <w:p>
      <w:pPr>
        <w:pStyle w:val="Normal"/>
        <w:tabs>
          <w:tab w:val="left" w:pos="720" w:leader="none"/>
          <w:tab w:val="left" w:pos="144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540" w:start="1980" w:end="0"/>
        <w:jc w:val="both"/>
        <w:rPr>
          <w:sz w:val="20"/>
        </w:rPr>
      </w:pPr>
      <w:r>
        <w:rPr>
          <w:sz w:val="20"/>
        </w:rPr>
      </w:r>
    </w:p>
    <w:p>
      <w:pPr>
        <w:pStyle w:val="Normal"/>
        <w:tabs>
          <w:tab w:val="left" w:pos="720" w:leader="none"/>
          <w:tab w:val="left" w:pos="144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360" w:start="1170" w:end="0"/>
        <w:jc w:val="both"/>
        <w:rPr>
          <w:sz w:val="20"/>
        </w:rPr>
      </w:pPr>
      <w:r>
        <w:rPr>
          <w:sz w:val="20"/>
        </w:rPr>
        <w:t>(iii)</w:t>
        <w:tab/>
        <w:t>The number of futures contracts against which delivery notices have been issued or received and the number against which exchanges of futures for cash have been transacted during the period of time specified in the call;</w:t>
      </w:r>
    </w:p>
    <w:p>
      <w:pPr>
        <w:pStyle w:val="Normal"/>
        <w:tabs>
          <w:tab w:val="left" w:pos="720" w:leader="none"/>
          <w:tab w:val="left" w:pos="144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540" w:start="1980" w:end="0"/>
        <w:jc w:val="both"/>
        <w:rPr>
          <w:sz w:val="20"/>
        </w:rPr>
      </w:pPr>
      <w:r>
        <w:rPr>
          <w:sz w:val="20"/>
        </w:rPr>
      </w:r>
    </w:p>
    <w:p>
      <w:pPr>
        <w:pStyle w:val="Normal"/>
        <w:tabs>
          <w:tab w:val="left" w:pos="720" w:leader="none"/>
          <w:tab w:val="left" w:pos="144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360" w:start="1170" w:end="0"/>
        <w:jc w:val="both"/>
        <w:rPr>
          <w:sz w:val="20"/>
        </w:rPr>
      </w:pPr>
      <w:r>
        <w:rPr>
          <w:sz w:val="20"/>
        </w:rPr>
        <w:t>(iv)</w:t>
        <w:tab/>
        <w:t>Whether the account is carried for and in the name of another futures commission merchant or foreign broker; and</w:t>
      </w:r>
    </w:p>
    <w:p>
      <w:pPr>
        <w:pStyle w:val="Normal"/>
        <w:tabs>
          <w:tab w:val="left" w:pos="720" w:leader="none"/>
          <w:tab w:val="left" w:pos="144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540" w:start="1980" w:end="0"/>
        <w:jc w:val="both"/>
        <w:rPr>
          <w:sz w:val="20"/>
        </w:rPr>
      </w:pPr>
      <w:r>
        <w:rPr>
          <w:sz w:val="20"/>
        </w:rPr>
      </w:r>
    </w:p>
    <w:p>
      <w:pPr>
        <w:pStyle w:val="Normal"/>
        <w:tabs>
          <w:tab w:val="left" w:pos="720" w:leader="none"/>
          <w:tab w:val="left" w:pos="1440" w:leader="none"/>
          <w:tab w:val="left" w:pos="270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450" w:start="1260" w:end="0"/>
        <w:jc w:val="both"/>
        <w:rPr>
          <w:sz w:val="20"/>
        </w:rPr>
      </w:pPr>
      <w:r>
        <w:rPr>
          <w:sz w:val="20"/>
        </w:rPr>
        <w:t>(v)</w:t>
        <w:tab/>
        <w:t>For the accounts which are not carried for and in the name of another futures commission merchant, introducing broker, or foreign broker, the name and address of any other person who controls the trading of the account, and the name and address of any person who has a ten percent or more beneficial interest in the account.</w:t>
      </w:r>
    </w:p>
    <w:p>
      <w:pPr>
        <w:pStyle w:val="Normal"/>
        <w:tabs>
          <w:tab w:val="left" w:pos="720" w:leader="none"/>
          <w:tab w:val="left" w:pos="1440" w:leader="none"/>
          <w:tab w:val="left" w:pos="2160" w:leader="none"/>
          <w:tab w:val="left" w:pos="2880" w:leader="none"/>
          <w:tab w:val="left" w:pos="3780" w:leader="none"/>
          <w:tab w:val="left" w:pos="4240" w:leader="none"/>
          <w:tab w:val="left" w:pos="4960" w:leader="none"/>
          <w:tab w:val="left" w:pos="5680" w:leader="none"/>
          <w:tab w:val="left" w:pos="6400" w:leader="none"/>
          <w:tab w:val="left" w:pos="7120" w:leader="none"/>
          <w:tab w:val="left" w:pos="7840" w:leader="none"/>
          <w:tab w:val="left" w:pos="8560" w:leader="none"/>
          <w:tab w:val="left" w:pos="9280" w:leader="none"/>
          <w:tab w:val="left" w:pos="10000" w:leader="none"/>
          <w:tab w:val="left" w:pos="10720" w:leader="none"/>
          <w:tab w:val="left" w:pos="11440" w:leader="none"/>
          <w:tab w:val="left" w:pos="12160" w:leader="none"/>
          <w:tab w:val="left" w:pos="12880" w:leader="none"/>
          <w:tab w:val="left" w:pos="13600" w:leader="none"/>
          <w:tab w:val="left" w:pos="14320" w:leader="none"/>
          <w:tab w:val="left" w:pos="15040" w:leader="none"/>
          <w:tab w:val="left" w:pos="15760" w:leader="none"/>
          <w:tab w:val="left" w:pos="16480" w:leader="none"/>
          <w:tab w:val="left" w:pos="17200" w:leader="none"/>
          <w:tab w:val="left" w:pos="17920" w:leader="none"/>
          <w:tab w:val="left" w:pos="18640" w:leader="none"/>
          <w:tab w:val="left" w:pos="19360" w:leader="none"/>
        </w:tabs>
        <w:ind w:hanging="720" w:start="720" w:end="0"/>
        <w:jc w:val="both"/>
        <w:rPr>
          <w:sz w:val="20"/>
        </w:rPr>
      </w:pPr>
      <w:r>
        <w:rPr>
          <w:sz w:val="20"/>
        </w:rPr>
      </w:r>
    </w:p>
    <w:p>
      <w:pPr>
        <w:pStyle w:val="Normal"/>
        <w:tabs>
          <w:tab w:val="clear" w:pos="720"/>
          <w:tab w:val="left" w:pos="1188" w:leader="none"/>
          <w:tab w:val="left" w:pos="1440" w:leader="none"/>
          <w:tab w:val="left" w:pos="1710" w:leader="none"/>
          <w:tab w:val="left" w:pos="3600" w:leader="none"/>
          <w:tab w:val="left" w:pos="4040" w:leader="none"/>
          <w:tab w:val="left" w:pos="4580" w:leader="none"/>
          <w:tab w:val="left" w:pos="5300" w:leader="none"/>
          <w:tab w:val="left" w:pos="6020" w:leader="none"/>
          <w:tab w:val="left" w:pos="6740" w:leader="none"/>
          <w:tab w:val="left" w:pos="7460" w:leader="none"/>
          <w:tab w:val="left" w:pos="8180" w:leader="none"/>
          <w:tab w:val="left" w:pos="8900" w:leader="none"/>
          <w:tab w:val="left" w:pos="9620" w:leader="none"/>
          <w:tab w:val="left" w:pos="10340" w:leader="none"/>
          <w:tab w:val="left" w:pos="11060" w:leader="none"/>
          <w:tab w:val="left" w:pos="11780" w:leader="none"/>
          <w:tab w:val="left" w:pos="12500" w:leader="none"/>
          <w:tab w:val="left" w:pos="13220" w:leader="none"/>
          <w:tab w:val="left" w:pos="13940" w:leader="none"/>
          <w:tab w:val="left" w:pos="14660" w:leader="none"/>
          <w:tab w:val="left" w:pos="15380" w:leader="none"/>
          <w:tab w:val="left" w:pos="16100" w:leader="none"/>
          <w:tab w:val="left" w:pos="16820" w:leader="none"/>
          <w:tab w:val="left" w:pos="17540" w:leader="none"/>
          <w:tab w:val="left" w:pos="18260" w:leader="none"/>
          <w:tab w:val="left" w:pos="18980" w:leader="none"/>
        </w:tabs>
        <w:ind w:hanging="1440" w:start="2700" w:end="0"/>
        <w:jc w:val="both"/>
        <w:rPr>
          <w:sz w:val="20"/>
        </w:rPr>
      </w:pPr>
      <w:r>
        <w:rPr>
          <w:sz w:val="20"/>
        </w:rPr>
        <w:t>(a)</w:t>
        <w:tab/>
        <w:t>The name and address of any other person who controls the trading of the account, and</w:t>
      </w:r>
    </w:p>
    <w:p>
      <w:pPr>
        <w:pStyle w:val="Normal"/>
        <w:tabs>
          <w:tab w:val="clear" w:pos="720"/>
          <w:tab w:val="left" w:pos="1188" w:leader="none"/>
          <w:tab w:val="left" w:pos="1440" w:leader="none"/>
          <w:tab w:val="left" w:pos="2060" w:leader="none"/>
          <w:tab w:val="left" w:pos="3600" w:leader="none"/>
          <w:tab w:val="left" w:pos="4040" w:leader="none"/>
          <w:tab w:val="left" w:pos="4580" w:leader="none"/>
          <w:tab w:val="left" w:pos="5300" w:leader="none"/>
          <w:tab w:val="left" w:pos="6020" w:leader="none"/>
          <w:tab w:val="left" w:pos="6740" w:leader="none"/>
          <w:tab w:val="left" w:pos="7460" w:leader="none"/>
          <w:tab w:val="left" w:pos="8180" w:leader="none"/>
          <w:tab w:val="left" w:pos="8900" w:leader="none"/>
          <w:tab w:val="left" w:pos="9620" w:leader="none"/>
          <w:tab w:val="left" w:pos="10340" w:leader="none"/>
          <w:tab w:val="left" w:pos="11060" w:leader="none"/>
          <w:tab w:val="left" w:pos="11780" w:leader="none"/>
          <w:tab w:val="left" w:pos="12500" w:leader="none"/>
          <w:tab w:val="left" w:pos="13220" w:leader="none"/>
          <w:tab w:val="left" w:pos="13940" w:leader="none"/>
          <w:tab w:val="left" w:pos="14660" w:leader="none"/>
          <w:tab w:val="left" w:pos="15380" w:leader="none"/>
          <w:tab w:val="left" w:pos="16100" w:leader="none"/>
          <w:tab w:val="left" w:pos="16820" w:leader="none"/>
          <w:tab w:val="left" w:pos="17540" w:leader="none"/>
          <w:tab w:val="left" w:pos="18260" w:leader="none"/>
          <w:tab w:val="left" w:pos="18980" w:leader="none"/>
        </w:tabs>
        <w:ind w:hanging="720" w:start="2700" w:end="0"/>
        <w:jc w:val="both"/>
        <w:rPr>
          <w:sz w:val="20"/>
        </w:rPr>
      </w:pPr>
      <w:r>
        <w:rPr>
          <w:sz w:val="20"/>
        </w:rPr>
      </w:r>
    </w:p>
    <w:p>
      <w:pPr>
        <w:pStyle w:val="Normal"/>
        <w:tabs>
          <w:tab w:val="clear" w:pos="720"/>
          <w:tab w:val="left" w:pos="1188" w:leader="none"/>
          <w:tab w:val="left" w:pos="1440" w:leader="none"/>
          <w:tab w:val="left" w:pos="1710" w:leader="none"/>
          <w:tab w:val="left" w:pos="3600" w:leader="none"/>
          <w:tab w:val="left" w:pos="4040" w:leader="none"/>
          <w:tab w:val="left" w:pos="4580" w:leader="none"/>
          <w:tab w:val="left" w:pos="5300" w:leader="none"/>
          <w:tab w:val="left" w:pos="6020" w:leader="none"/>
          <w:tab w:val="left" w:pos="6740" w:leader="none"/>
          <w:tab w:val="left" w:pos="7460" w:leader="none"/>
          <w:tab w:val="left" w:pos="8180" w:leader="none"/>
          <w:tab w:val="left" w:pos="8900" w:leader="none"/>
          <w:tab w:val="left" w:pos="9620" w:leader="none"/>
          <w:tab w:val="left" w:pos="10340" w:leader="none"/>
          <w:tab w:val="left" w:pos="11060" w:leader="none"/>
          <w:tab w:val="left" w:pos="11780" w:leader="none"/>
          <w:tab w:val="left" w:pos="12500" w:leader="none"/>
          <w:tab w:val="left" w:pos="13220" w:leader="none"/>
          <w:tab w:val="left" w:pos="13940" w:leader="none"/>
          <w:tab w:val="left" w:pos="14660" w:leader="none"/>
          <w:tab w:val="left" w:pos="15380" w:leader="none"/>
          <w:tab w:val="left" w:pos="16100" w:leader="none"/>
          <w:tab w:val="left" w:pos="16820" w:leader="none"/>
          <w:tab w:val="left" w:pos="17540" w:leader="none"/>
          <w:tab w:val="left" w:pos="18260" w:leader="none"/>
          <w:tab w:val="left" w:pos="18980" w:leader="none"/>
        </w:tabs>
        <w:ind w:hanging="450" w:start="1710" w:end="0"/>
        <w:jc w:val="both"/>
        <w:rPr>
          <w:sz w:val="20"/>
        </w:rPr>
      </w:pPr>
      <w:r>
        <w:rPr>
          <w:sz w:val="20"/>
        </w:rPr>
        <w:t>(b)</w:t>
        <w:tab/>
        <w:t>The name and address of any person who has a ten percent or more beneficial interest in the account.</w:t>
      </w:r>
    </w:p>
    <w:p>
      <w:pPr>
        <w:pStyle w:val="Normal"/>
        <w:tabs>
          <w:tab w:val="clear" w:pos="720"/>
          <w:tab w:val="left" w:pos="324" w:leader="none"/>
          <w:tab w:val="left" w:pos="396" w:leader="none"/>
          <w:tab w:val="left" w:pos="468" w:leader="none"/>
          <w:tab w:val="left" w:pos="540" w:leader="none"/>
          <w:tab w:val="left" w:pos="612" w:leader="none"/>
          <w:tab w:val="left" w:pos="756" w:leader="none"/>
          <w:tab w:val="left" w:pos="864" w:leader="none"/>
          <w:tab w:val="left" w:pos="936" w:leader="none"/>
          <w:tab w:val="left" w:pos="1008" w:leader="none"/>
          <w:tab w:val="left" w:pos="1188" w:leader="none"/>
          <w:tab w:val="left" w:pos="1440" w:leader="none"/>
          <w:tab w:val="left" w:pos="2160" w:leader="none"/>
          <w:tab w:val="left" w:pos="2880" w:leader="none"/>
          <w:tab w:val="left" w:pos="3600" w:leader="none"/>
          <w:tab w:val="left" w:pos="4040" w:leader="none"/>
          <w:tab w:val="left" w:pos="4580" w:leader="none"/>
          <w:tab w:val="left" w:pos="5300" w:leader="none"/>
          <w:tab w:val="left" w:pos="6020" w:leader="none"/>
          <w:tab w:val="left" w:pos="6740" w:leader="none"/>
          <w:tab w:val="left" w:pos="7460" w:leader="none"/>
          <w:tab w:val="left" w:pos="8180" w:leader="none"/>
          <w:tab w:val="left" w:pos="8900" w:leader="none"/>
          <w:tab w:val="left" w:pos="9620" w:leader="none"/>
          <w:tab w:val="left" w:pos="10340" w:leader="none"/>
          <w:tab w:val="left" w:pos="11060" w:leader="none"/>
          <w:tab w:val="left" w:pos="11780" w:leader="none"/>
          <w:tab w:val="left" w:pos="12500" w:leader="none"/>
          <w:tab w:val="left" w:pos="13220" w:leader="none"/>
          <w:tab w:val="left" w:pos="13940" w:leader="none"/>
          <w:tab w:val="left" w:pos="14660" w:leader="none"/>
          <w:tab w:val="left" w:pos="15380" w:leader="none"/>
          <w:tab w:val="left" w:pos="16100" w:leader="none"/>
          <w:tab w:val="left" w:pos="16820" w:leader="none"/>
          <w:tab w:val="left" w:pos="17540" w:leader="none"/>
          <w:tab w:val="left" w:pos="18260" w:leader="none"/>
          <w:tab w:val="left" w:pos="18980" w:leader="none"/>
        </w:tabs>
        <w:ind w:hanging="720" w:start="720" w:end="0"/>
        <w:jc w:val="both"/>
        <w:rPr>
          <w:sz w:val="20"/>
        </w:rPr>
      </w:pPr>
      <w:r>
        <w:rPr>
          <w:sz w:val="20"/>
        </w:rPr>
      </w:r>
    </w:p>
    <w:p>
      <w:pPr>
        <w:pStyle w:val="Normal"/>
        <w:tabs>
          <w:tab w:val="clear" w:pos="720"/>
          <w:tab w:val="left" w:pos="4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s>
        <w:ind w:hanging="360" w:start="810" w:end="0"/>
        <w:jc w:val="both"/>
        <w:rPr>
          <w:sz w:val="20"/>
        </w:rPr>
      </w:pPr>
      <w:r>
        <w:rPr>
          <w:sz w:val="20"/>
        </w:rPr>
        <w:t>(2)</w:t>
        <w:tab/>
        <w:t>Each trader shall provide the Commission with the following information:</w:t>
      </w:r>
    </w:p>
    <w:p>
      <w:pPr>
        <w:pStyle w:val="Normal"/>
        <w:tabs>
          <w:tab w:val="clear" w:pos="720"/>
          <w:tab w:val="left" w:pos="324" w:leader="none"/>
          <w:tab w:val="left" w:pos="396" w:leader="none"/>
          <w:tab w:val="left" w:pos="468" w:leader="none"/>
          <w:tab w:val="left" w:pos="540" w:leader="none"/>
          <w:tab w:val="left" w:pos="612" w:leader="none"/>
          <w:tab w:val="left" w:pos="756" w:leader="none"/>
          <w:tab w:val="left" w:pos="864" w:leader="none"/>
          <w:tab w:val="left" w:pos="936" w:leader="none"/>
          <w:tab w:val="left" w:pos="1008" w:leader="none"/>
          <w:tab w:val="left" w:pos="1188" w:leader="none"/>
          <w:tab w:val="left" w:pos="1440" w:leader="none"/>
          <w:tab w:val="left" w:pos="2160" w:leader="none"/>
          <w:tab w:val="left" w:pos="4500" w:leader="none"/>
          <w:tab w:val="left" w:pos="5220" w:leader="none"/>
          <w:tab w:val="left" w:pos="5940" w:leader="none"/>
          <w:tab w:val="left" w:pos="6660" w:leader="none"/>
          <w:tab w:val="left" w:pos="7380" w:leader="none"/>
          <w:tab w:val="left" w:pos="8100" w:leader="none"/>
          <w:tab w:val="left" w:pos="8820" w:leader="none"/>
          <w:tab w:val="left" w:pos="9540" w:leader="none"/>
          <w:tab w:val="left" w:pos="10260" w:leader="none"/>
          <w:tab w:val="left" w:pos="10980" w:leader="none"/>
          <w:tab w:val="left" w:pos="11700" w:leader="none"/>
          <w:tab w:val="left" w:pos="12420" w:leader="none"/>
          <w:tab w:val="left" w:pos="13140" w:leader="none"/>
          <w:tab w:val="left" w:pos="13860" w:leader="none"/>
          <w:tab w:val="left" w:pos="14580" w:leader="none"/>
          <w:tab w:val="left" w:pos="15300" w:leader="none"/>
          <w:tab w:val="left" w:pos="16020" w:leader="none"/>
          <w:tab w:val="left" w:pos="16740" w:leader="none"/>
          <w:tab w:val="left" w:pos="17460" w:leader="none"/>
          <w:tab w:val="left" w:pos="18180" w:leader="none"/>
          <w:tab w:val="left" w:pos="18900" w:leader="none"/>
          <w:tab w:val="left" w:pos="19620" w:leader="none"/>
        </w:tabs>
        <w:ind w:hanging="720" w:start="720" w:end="0"/>
        <w:jc w:val="both"/>
        <w:rPr>
          <w:sz w:val="20"/>
        </w:rPr>
      </w:pPr>
      <w:r>
        <w:rPr>
          <w:sz w:val="20"/>
        </w:rPr>
        <w:tab/>
      </w:r>
    </w:p>
    <w:p>
      <w:pPr>
        <w:pStyle w:val="Normal"/>
        <w:tabs>
          <w:tab w:val="clear" w:pos="720"/>
          <w:tab w:val="left" w:pos="4760" w:leader="none"/>
          <w:tab w:val="left" w:pos="5480" w:leader="none"/>
          <w:tab w:val="left" w:pos="6200" w:leader="none"/>
          <w:tab w:val="left" w:pos="6920" w:leader="none"/>
          <w:tab w:val="left" w:pos="7640" w:leader="none"/>
          <w:tab w:val="left" w:pos="8360" w:leader="none"/>
          <w:tab w:val="left" w:pos="9080" w:leader="none"/>
          <w:tab w:val="left" w:pos="9800" w:leader="none"/>
          <w:tab w:val="left" w:pos="10520" w:leader="none"/>
          <w:tab w:val="left" w:pos="11240" w:leader="none"/>
          <w:tab w:val="left" w:pos="11960" w:leader="none"/>
          <w:tab w:val="left" w:pos="12680" w:leader="none"/>
          <w:tab w:val="left" w:pos="13400" w:leader="none"/>
          <w:tab w:val="left" w:pos="14120" w:leader="none"/>
          <w:tab w:val="left" w:pos="14840" w:leader="none"/>
          <w:tab w:val="left" w:pos="15560" w:leader="none"/>
          <w:tab w:val="left" w:pos="16280" w:leader="none"/>
          <w:tab w:val="left" w:pos="17000" w:leader="none"/>
          <w:tab w:val="left" w:pos="17720" w:leader="none"/>
          <w:tab w:val="left" w:pos="18440" w:leader="none"/>
          <w:tab w:val="left" w:pos="19160" w:leader="none"/>
          <w:tab w:val="left" w:pos="19880" w:leader="none"/>
        </w:tabs>
        <w:ind w:hanging="360" w:start="1170" w:end="0"/>
        <w:jc w:val="both"/>
        <w:rPr>
          <w:sz w:val="20"/>
        </w:rPr>
      </w:pPr>
      <w:r>
        <w:rPr>
          <w:sz w:val="20"/>
        </w:rPr>
        <w:t>(i)</w:t>
        <w:tab/>
        <w:t>The total open futures and options contracts owned or controlled on the dates specified in the call;</w:t>
      </w:r>
    </w:p>
    <w:p>
      <w:pPr>
        <w:pStyle w:val="Normal"/>
        <w:tabs>
          <w:tab w:val="clear" w:pos="72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540" w:start="1980" w:end="0"/>
        <w:jc w:val="both"/>
        <w:rPr>
          <w:sz w:val="20"/>
        </w:rPr>
      </w:pPr>
      <w:r>
        <w:rPr>
          <w:sz w:val="20"/>
        </w:rPr>
      </w:r>
    </w:p>
    <w:p>
      <w:pPr>
        <w:pStyle w:val="Normal"/>
        <w:tabs>
          <w:tab w:val="clear" w:pos="720"/>
          <w:tab w:val="left" w:pos="314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 w:val="left" w:pos="9900" w:leader="none"/>
          <w:tab w:val="left" w:pos="10620" w:leader="none"/>
          <w:tab w:val="left" w:pos="11340" w:leader="none"/>
          <w:tab w:val="left" w:pos="12060" w:leader="none"/>
          <w:tab w:val="left" w:pos="12780" w:leader="none"/>
          <w:tab w:val="left" w:pos="13500" w:leader="none"/>
          <w:tab w:val="left" w:pos="14220" w:leader="none"/>
          <w:tab w:val="left" w:pos="14940" w:leader="none"/>
          <w:tab w:val="left" w:pos="15660" w:leader="none"/>
          <w:tab w:val="left" w:pos="16380" w:leader="none"/>
          <w:tab w:val="left" w:pos="17100" w:leader="none"/>
          <w:tab w:val="left" w:pos="17820" w:leader="none"/>
          <w:tab w:val="left" w:pos="18540" w:leader="none"/>
        </w:tabs>
        <w:ind w:hanging="360" w:start="1170" w:end="0"/>
        <w:jc w:val="both"/>
        <w:rPr>
          <w:sz w:val="20"/>
        </w:rPr>
      </w:pPr>
      <w:r>
        <w:rPr>
          <w:sz w:val="20"/>
        </w:rPr>
        <w:t>(ii)</w:t>
        <w:tab/>
        <w:t>The name and address of any person having a ten percent or more beneficial interest in the open futures or options contracts reported pursuant to this paragraph;</w:t>
      </w:r>
    </w:p>
    <w:p>
      <w:pPr>
        <w:pStyle w:val="Normal"/>
        <w:tabs>
          <w:tab w:val="clear" w:pos="720"/>
          <w:tab w:val="left" w:pos="314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 w:val="left" w:pos="9900" w:leader="none"/>
          <w:tab w:val="left" w:pos="10620" w:leader="none"/>
          <w:tab w:val="left" w:pos="11340" w:leader="none"/>
          <w:tab w:val="left" w:pos="12060" w:leader="none"/>
          <w:tab w:val="left" w:pos="12780" w:leader="none"/>
          <w:tab w:val="left" w:pos="13500" w:leader="none"/>
          <w:tab w:val="left" w:pos="14220" w:leader="none"/>
          <w:tab w:val="left" w:pos="14940" w:leader="none"/>
          <w:tab w:val="left" w:pos="15660" w:leader="none"/>
          <w:tab w:val="left" w:pos="16380" w:leader="none"/>
          <w:tab w:val="left" w:pos="17100" w:leader="none"/>
          <w:tab w:val="left" w:pos="17820" w:leader="none"/>
          <w:tab w:val="left" w:pos="18540" w:leader="none"/>
        </w:tabs>
        <w:ind w:hanging="360" w:start="1170" w:end="0"/>
        <w:jc w:val="both"/>
        <w:rPr>
          <w:sz w:val="20"/>
        </w:rPr>
      </w:pPr>
      <w:r>
        <w:rPr>
          <w:sz w:val="20"/>
        </w:rPr>
      </w:r>
    </w:p>
    <w:p>
      <w:pPr>
        <w:pStyle w:val="Normal"/>
        <w:tabs>
          <w:tab w:val="clear" w:pos="720"/>
          <w:tab w:val="left" w:pos="314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 w:val="left" w:pos="9900" w:leader="none"/>
          <w:tab w:val="left" w:pos="10620" w:leader="none"/>
          <w:tab w:val="left" w:pos="11340" w:leader="none"/>
          <w:tab w:val="left" w:pos="12060" w:leader="none"/>
          <w:tab w:val="left" w:pos="12780" w:leader="none"/>
          <w:tab w:val="left" w:pos="13500" w:leader="none"/>
          <w:tab w:val="left" w:pos="14220" w:leader="none"/>
          <w:tab w:val="left" w:pos="14940" w:leader="none"/>
          <w:tab w:val="left" w:pos="15660" w:leader="none"/>
          <w:tab w:val="left" w:pos="16380" w:leader="none"/>
          <w:tab w:val="left" w:pos="17100" w:leader="none"/>
          <w:tab w:val="left" w:pos="17820" w:leader="none"/>
          <w:tab w:val="left" w:pos="18540" w:leader="none"/>
        </w:tabs>
        <w:ind w:hanging="360" w:start="1170" w:end="0"/>
        <w:jc w:val="both"/>
        <w:rPr>
          <w:sz w:val="20"/>
        </w:rPr>
      </w:pPr>
      <w:r>
        <w:rPr>
          <w:sz w:val="20"/>
        </w:rPr>
        <w:t>(iii)</w:t>
        <w:tab/>
        <w:t>The name and address of any other person who controls the trading of the open futures or options contracts reported pursuant to this paragraph; and</w:t>
      </w:r>
    </w:p>
    <w:p>
      <w:pPr>
        <w:pStyle w:val="Normal"/>
        <w:tabs>
          <w:tab w:val="clear" w:pos="720"/>
          <w:tab w:val="left" w:pos="314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 w:val="left" w:pos="9900" w:leader="none"/>
          <w:tab w:val="left" w:pos="10620" w:leader="none"/>
          <w:tab w:val="left" w:pos="11340" w:leader="none"/>
          <w:tab w:val="left" w:pos="12060" w:leader="none"/>
          <w:tab w:val="left" w:pos="12780" w:leader="none"/>
          <w:tab w:val="left" w:pos="13500" w:leader="none"/>
          <w:tab w:val="left" w:pos="14220" w:leader="none"/>
          <w:tab w:val="left" w:pos="14940" w:leader="none"/>
          <w:tab w:val="left" w:pos="15660" w:leader="none"/>
          <w:tab w:val="left" w:pos="16380" w:leader="none"/>
          <w:tab w:val="left" w:pos="17100" w:leader="none"/>
          <w:tab w:val="left" w:pos="17820" w:leader="none"/>
          <w:tab w:val="left" w:pos="18540" w:leader="none"/>
        </w:tabs>
        <w:ind w:hanging="540" w:start="1980" w:end="0"/>
        <w:jc w:val="both"/>
        <w:rPr>
          <w:sz w:val="20"/>
        </w:rPr>
      </w:pPr>
      <w:r>
        <w:rPr>
          <w:sz w:val="20"/>
        </w:rPr>
      </w:r>
    </w:p>
    <w:p>
      <w:pPr>
        <w:pStyle w:val="Normal"/>
        <w:tabs>
          <w:tab w:val="clear" w:pos="720"/>
          <w:tab w:val="left" w:pos="314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 w:val="left" w:pos="9900" w:leader="none"/>
          <w:tab w:val="left" w:pos="10620" w:leader="none"/>
          <w:tab w:val="left" w:pos="11340" w:leader="none"/>
          <w:tab w:val="left" w:pos="12060" w:leader="none"/>
          <w:tab w:val="left" w:pos="12780" w:leader="none"/>
          <w:tab w:val="left" w:pos="13500" w:leader="none"/>
          <w:tab w:val="left" w:pos="14220" w:leader="none"/>
          <w:tab w:val="left" w:pos="14940" w:leader="none"/>
          <w:tab w:val="left" w:pos="15660" w:leader="none"/>
          <w:tab w:val="left" w:pos="16380" w:leader="none"/>
          <w:tab w:val="left" w:pos="17100" w:leader="none"/>
          <w:tab w:val="left" w:pos="17820" w:leader="none"/>
          <w:tab w:val="left" w:pos="18540" w:leader="none"/>
        </w:tabs>
        <w:ind w:hanging="360" w:start="1170" w:end="0"/>
        <w:jc w:val="both"/>
        <w:rPr>
          <w:sz w:val="20"/>
        </w:rPr>
      </w:pPr>
      <w:r>
        <w:rPr>
          <w:sz w:val="20"/>
        </w:rPr>
        <w:t>(iv)</w:t>
        <w:tab/>
        <w:t>The cash commodity transaction and position information required to be maintained pursuant to §18.05 of this chapter as specified in the call which relates to futures or options positions of the trader in the United States.</w:t>
      </w:r>
    </w:p>
    <w:p>
      <w:pPr>
        <w:pStyle w:val="Normal"/>
        <w:tabs>
          <w:tab w:val="clear" w:pos="720"/>
          <w:tab w:val="left" w:pos="324" w:leader="none"/>
          <w:tab w:val="left" w:pos="396" w:leader="none"/>
          <w:tab w:val="left" w:pos="468" w:leader="none"/>
          <w:tab w:val="left" w:pos="540" w:leader="none"/>
          <w:tab w:val="left" w:pos="612" w:leader="none"/>
          <w:tab w:val="left" w:pos="756" w:leader="none"/>
          <w:tab w:val="left" w:pos="864" w:leader="none"/>
          <w:tab w:val="left" w:pos="936" w:leader="none"/>
          <w:tab w:val="left" w:pos="1008" w:leader="none"/>
          <w:tab w:val="left" w:pos="118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rPr>
          <w:sz w:val="20"/>
        </w:rPr>
      </w:pPr>
      <w:r>
        <w:rPr>
          <w:sz w:val="20"/>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50" w:start="450" w:end="0"/>
        <w:jc w:val="both"/>
        <w:rPr>
          <w:sz w:val="20"/>
        </w:rPr>
      </w:pPr>
      <w:r>
        <w:rPr>
          <w:sz w:val="20"/>
        </w:rPr>
        <w:t>(f)</w:t>
        <w:tab/>
        <w:t>If the Commission has reason to believe that a futures commission merchant or customer has not responded as required to a call made pursuant to this section, the Commis</w:t>
        <w:softHyphen/>
        <w:t>sion in writing may inform the contract market specified in the call and that contract market shall prohibit the execution of, and no futures commission merchant, introducing broker, or foreign broker shall accept an order for, trades on the contract market and in the months or expiration dates specified in the call for or on behalf of the futures commission merchant or customer names in the call, unless such trades offset existing open contracts of such futures commission merchant or customer.</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rPr>
          <w:sz w:val="20"/>
        </w:rPr>
      </w:pPr>
      <w:r>
        <w:rPr>
          <w:sz w:val="20"/>
        </w:rPr>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50" w:start="450" w:end="0"/>
        <w:jc w:val="both"/>
        <w:rPr>
          <w:sz w:val="20"/>
        </w:rPr>
      </w:pPr>
      <w:r>
        <w:rPr>
          <w:sz w:val="20"/>
        </w:rPr>
        <w:t>(g)</w:t>
        <w:tab/>
        <w:t>Any futures commission merchant or customer named in a special call that believes he or she is or may be adversely affected or aggrieved by action taken by the Commis</w:t>
        <w:softHyphen/>
        <w:t>sion under paragraph (f) shall have the opportunity for a prompt hearing after the Commission acts.  That person may immediately present in writing to the Commission for its consideration any comments or arguments concerning the Commission's action and may present for Commission consideration any documentary or other evidence that person deems appropriate.  Upon request, the Commission may, in its discretion, determine that an oral hearing be conducted to permit the further presentation of informa</w:t>
        <w:softHyphen/>
        <w:t>tion and views concerning any matters by any or all such persons.  The oral hearing may be held before the Commission or any person designated by the Commission, which person shall cause all evidence to be reduced to writing and forthwith transmit the same and a recommended decision to the Commission. The Commissi</w:t>
        <w:softHyphen/>
        <w:t>on's directive under paragraph (f) of this section shall remain in effect unless and until modified or withdrawn by the Commission.</w:t>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rPr>
          <w:sz w:val="20"/>
        </w:rPr>
      </w:pPr>
      <w:r>
        <w:rPr>
          <w:sz w:val="20"/>
        </w:rPr>
      </w:r>
      <w:r>
        <w:br w:type="page"/>
      </w:r>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450" w:start="450" w:end="0"/>
        <w:jc w:val="both"/>
        <w:rPr>
          <w:sz w:val="20"/>
        </w:rPr>
      </w:pPr>
      <w:r>
        <w:rPr>
          <w:sz w:val="20"/>
        </w:rPr>
        <w:t>(h)</w:t>
        <w:tab/>
        <w:t>If, during the course of or after the Commission acts pursuant to paragraph (f), the Commission determines that it is appropriate to undertake a proceeding pursuant to section 6(b) of the Commodity Exchange Act, 7 U.S.C. 9, the Commission shall issue a complaint in accordance with the requirements of section 6(b), and, upon further determination by the Commission that the conditions described in §21.03 (c) still exists, a hearing pursuant to section 6(b) of the Act shall commence no later than five business days after service of the complaint.  In the event the futures commission merchant or customer served with the complaint under section 6(b) has, prior to the commencement of the section 6(b) hearing, sought a hearing pursuant to paragraph (g) above and the Commission has determined to accord him such a hearing, the two hearings shall be conducted simultaneously. Nothing in this section shall preclude the Commission from taking other appropriate action under the Commodity Exchange Act, or the Commission's Rules, including action under section 6(b) of the Act regardless of whether the conditions described in §21.03 (c) still exist, and no ruling issued in the course of a hearing pursuant to paragraph (g) or this paragraph shall constitute an estoppel against the Commission in any other action.</w:t>
      </w:r>
    </w:p>
    <w:p>
      <w:pPr>
        <w:pStyle w:val="Normal"/>
        <w:tabs>
          <w:tab w:val="clear" w:pos="720"/>
          <w:tab w:val="left" w:pos="324" w:leader="none"/>
          <w:tab w:val="left" w:pos="396" w:leader="none"/>
          <w:tab w:val="left" w:pos="468" w:leader="none"/>
          <w:tab w:val="left" w:pos="540" w:leader="none"/>
          <w:tab w:val="left" w:pos="612" w:leader="none"/>
          <w:tab w:val="left" w:pos="756" w:leader="none"/>
          <w:tab w:val="left" w:pos="864" w:leader="none"/>
          <w:tab w:val="left" w:pos="936" w:leader="none"/>
          <w:tab w:val="left" w:pos="1008" w:leader="none"/>
          <w:tab w:val="left" w:pos="118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jc w:val="both"/>
        <w:rPr>
          <w:sz w:val="20"/>
        </w:rPr>
      </w:pPr>
      <w:r>
        <w:rPr>
          <w:sz w:val="20"/>
        </w:rPr>
      </w:r>
    </w:p>
    <w:p>
      <w:pPr>
        <w:pStyle w:val="Normal"/>
        <w:tabs>
          <w:tab w:val="clear" w:pos="720"/>
          <w:tab w:val="left" w:pos="324" w:leader="none"/>
          <w:tab w:val="left" w:pos="396" w:leader="none"/>
          <w:tab w:val="left" w:pos="468" w:leader="none"/>
          <w:tab w:val="left" w:pos="540" w:leader="none"/>
          <w:tab w:val="left" w:pos="612" w:leader="none"/>
          <w:tab w:val="left" w:pos="756" w:leader="none"/>
          <w:tab w:val="left" w:pos="864" w:leader="none"/>
          <w:tab w:val="left" w:pos="936" w:leader="none"/>
          <w:tab w:val="left" w:pos="1008" w:leader="none"/>
          <w:tab w:val="left" w:pos="118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rPr>
          <w:sz w:val="20"/>
        </w:rPr>
      </w:pPr>
      <w:r>
        <w:rPr>
          <w:sz w:val="20"/>
        </w:rPr>
        <w:t>Effective August 3, 1983</w:t>
      </w:r>
    </w:p>
    <w:p>
      <w:pPr>
        <w:pStyle w:val="Normal"/>
        <w:spacing w:before="0" w:after="240"/>
        <w:rPr>
          <w:b/>
          <w:sz w:val="20"/>
        </w:rPr>
      </w:pPr>
      <w:r>
        <w:rPr>
          <w:b/>
          <w:sz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720" w:end="0"/>
        <w:rPr>
          <w:b/>
          <w:sz w:val="20"/>
        </w:rPr>
      </w:pPr>
      <w:r>
        <w:rPr>
          <w:b/>
          <w:sz w:val="20"/>
        </w:rPr>
      </w:r>
    </w:p>
    <w:sectPr>
      <w:headerReference w:type="default" r:id="rId5"/>
      <w:footerReference w:type="default" r:id="rId6"/>
      <w:type w:val="nextPage"/>
      <w:pgSz w:w="12240" w:h="15840"/>
      <w:pgMar w:left="216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start="-2160" w:end="0"/>
      <w:jc w:val="center"/>
      <w:rPr/>
    </w:pPr>
    <w:r>
      <w:rPr>
        <w:sz w:val="20"/>
      </w:rPr>
      <w:tab/>
    </w:r>
    <w:r>
      <w:rPr>
        <w:sz w:val="18"/>
      </w:rPr>
      <w:t xml:space="preserve"> -</w:t>
    </w:r>
    <w:r>
      <w:rPr>
        <w:sz w:val="18"/>
      </w:rPr>
      <w:fldChar w:fldCharType="begin"/>
    </w:r>
    <w:r>
      <w:rPr>
        <w:sz w:val="18"/>
      </w:rPr>
      <w:instrText xml:space="preserve"> PAGE \* ARABIC </w:instrText>
    </w:r>
    <w:r>
      <w:rPr>
        <w:sz w:val="18"/>
      </w:rPr>
      <w:fldChar w:fldCharType="separate"/>
    </w:r>
    <w:r>
      <w:rPr>
        <w:sz w:val="18"/>
      </w:rPr>
      <w:t>19</w:t>
    </w:r>
    <w:r>
      <w:rPr>
        <w:sz w:val="18"/>
      </w:rPr>
      <w:fldChar w:fldCharType="end"/>
    </w:r>
    <w:r>
      <w:rPr>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0" w:color="000000"/>
      </w:pBdr>
      <w:ind w:start="-1440" w:end="0"/>
      <w:rPr/>
    </w:pPr>
    <w:r>
      <w:rPr/>
    </w:r>
  </w:p>
  <w:p>
    <w:pPr>
      <w:pStyle w:val="Header"/>
      <w:ind w:start="-1440" w:end="0"/>
      <w:rPr/>
    </w:pPr>
    <w:r>
      <w:rPr/>
    </w:r>
  </w:p>
  <w:p>
    <w:pPr>
      <w:pStyle w:val="Normal"/>
      <w:ind w:start="-1440" w:end="0"/>
      <w:rPr/>
    </w:pPr>
    <w:r>
      <w:rPr/>
      <w:drawing>
        <wp:inline distT="0" distB="0" distL="0" distR="0">
          <wp:extent cx="838200" cy="17716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43" t="-203" r="-43" b="-203"/>
                  <a:stretch>
                    <a:fillRect/>
                  </a:stretch>
                </pic:blipFill>
                <pic:spPr bwMode="auto">
                  <a:xfrm>
                    <a:off x="0" y="0"/>
                    <a:ext cx="838200" cy="177165"/>
                  </a:xfrm>
                  <a:prstGeom prst="rect">
                    <a:avLst/>
                  </a:prstGeom>
                  <a:noFill/>
                </pic:spPr>
              </pic:pic>
            </a:graphicData>
          </a:graphic>
        </wp:inline>
      </w:drawing>
    </w:r>
  </w:p>
  <w:p>
    <w:pPr>
      <w:pStyle w:val="Header"/>
      <w:ind w:start="-144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6" w:space="0" w:color="000000"/>
      </w:pBdr>
      <w:ind w:start="-1440" w:end="0"/>
      <w:rPr/>
    </w:pPr>
    <w:r>
      <w:rPr/>
    </w:r>
  </w:p>
  <w:p>
    <w:pPr>
      <w:pStyle w:val="Normal"/>
      <w:ind w:start="-1440" w:end="0"/>
      <w:rPr/>
    </w:pPr>
    <w:r>
      <w:rPr/>
    </w:r>
  </w:p>
  <w:p>
    <w:pPr>
      <w:pStyle w:val="Normal"/>
      <w:ind w:start="-1440" w:end="0"/>
      <w:rPr/>
    </w:pPr>
    <w:r>
      <w:rPr/>
      <w:drawing>
        <wp:inline distT="0" distB="0" distL="0" distR="0">
          <wp:extent cx="838200" cy="177165"/>
          <wp:effectExtent l="0" t="0" r="0" b="0"/>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1"/>
                  <a:srcRect l="-43" t="-203" r="-43" b="-203"/>
                  <a:stretch>
                    <a:fillRect/>
                  </a:stretch>
                </pic:blipFill>
                <pic:spPr bwMode="auto">
                  <a:xfrm>
                    <a:off x="0" y="0"/>
                    <a:ext cx="838200" cy="177165"/>
                  </a:xfrm>
                  <a:prstGeom prst="rect">
                    <a:avLst/>
                  </a:prstGeom>
                  <a:noFill/>
                </pic:spPr>
              </pic:pic>
            </a:graphicData>
          </a:graphic>
        </wp:inline>
      </w:drawing>
    </w:r>
  </w:p>
  <w:p>
    <w:pPr>
      <w:pStyle w:val="Normal"/>
      <w:ind w:start="-1440" w:end="0"/>
      <w:rPr/>
    </w:pPr>
    <w:r>
      <w:rPr/>
    </w:r>
  </w:p>
  <w:p>
    <w:pPr>
      <w:pStyle w:val="Normal"/>
      <w:tabs>
        <w:tab w:val="clear" w:pos="720"/>
        <w:tab w:val="left" w:pos="-1800" w:leader="none"/>
        <w:tab w:val="left" w:pos="180" w:leader="none"/>
        <w:tab w:val="left" w:pos="800" w:leader="none"/>
        <w:tab w:val="left" w:pos="1440" w:leader="none"/>
      </w:tabs>
      <w:ind w:start="-144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50"/>
        </w:tabs>
        <w:ind w:start="450" w:hanging="450"/>
      </w:pPr>
      <w:rPr/>
    </w:lvl>
  </w:abstractNum>
  <w:abstractNum w:abstractNumId="3">
    <w:lvl w:ilvl="0">
      <w:start w:val="1"/>
      <w:numFmt w:val="lowerLetter"/>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4">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4"/>
      <w:numFmt w:val="decimal"/>
      <w:lvlText w:val="%1."/>
      <w:lvlJc w:val="start"/>
      <w:pPr>
        <w:tabs>
          <w:tab w:val="num" w:pos="360"/>
        </w:tabs>
        <w:ind w:start="360" w:hanging="360"/>
      </w:pPr>
      <w:rPr/>
    </w:lvl>
  </w:abstractNum>
  <w:abstractNum w:abstractNumId="6">
    <w:lvl w:ilvl="0">
      <w:start w:val="3"/>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lowerLetter"/>
      <w:lvlText w:val="%1. "/>
      <w:lvlJc w:val="start"/>
      <w:pPr>
        <w:tabs>
          <w:tab w:val="num" w:pos="360"/>
        </w:tabs>
        <w:ind w:start="1080" w:hanging="360"/>
      </w:pPr>
      <w:rPr>
        <w:sz w:val="24"/>
        <w:i w:val="false"/>
        <w:u w:val="none"/>
        <w:b w:val="false"/>
        <w:rFonts w:ascii="Times New Roman" w:hAnsi="Times New Roman" w:cs="Times New Roman"/>
      </w:rPr>
    </w:lvl>
  </w:abstractNum>
  <w:abstractNum w:abstractNumId="8">
    <w:lvl w:ilvl="0">
      <w:start w:val="4"/>
      <w:numFmt w:val="decimal"/>
      <w:lvlText w:val="%1. "/>
      <w:lvlJc w:val="start"/>
      <w:pPr>
        <w:tabs>
          <w:tab w:val="num" w:pos="360"/>
        </w:tabs>
        <w:ind w:start="360" w:hanging="360"/>
      </w:pPr>
      <w:rPr>
        <w:sz w:val="24"/>
        <w:i w:val="false"/>
        <w:u w:val="none"/>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Arial" w:hAnsi="Arial" w:cs="Arial"/>
      <w:b/>
      <w:u w:val="single"/>
    </w:rPr>
  </w:style>
  <w:style w:type="paragraph" w:styleId="Heading2">
    <w:name w:val="heading 2"/>
    <w:basedOn w:val="Normal"/>
    <w:next w:val="Normal"/>
    <w:qFormat/>
    <w:pPr>
      <w:numPr>
        <w:ilvl w:val="1"/>
        <w:numId w:val="1"/>
      </w:numPr>
      <w:spacing w:before="120" w:after="0"/>
      <w:outlineLvl w:val="1"/>
    </w:pPr>
    <w:rPr>
      <w:rFonts w:ascii="Arial" w:hAnsi="Arial" w:cs="Arial"/>
      <w:b/>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indent"/>
    <w:qFormat/>
    <w:pPr>
      <w:numPr>
        <w:ilvl w:val="3"/>
        <w:numId w:val="1"/>
      </w:numPr>
      <w:ind w:hanging="0" w:start="360" w:end="0"/>
      <w:outlineLvl w:val="3"/>
    </w:pPr>
    <w:rPr>
      <w:rFonts w:ascii="Courier New" w:hAnsi="Courier New" w:cs="Courier New"/>
      <w:sz w:val="20"/>
      <w:u w:val="single"/>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Normalindent"/>
    <w:qFormat/>
    <w:pPr>
      <w:numPr>
        <w:ilvl w:val="5"/>
        <w:numId w:val="1"/>
      </w:numPr>
      <w:ind w:hanging="0" w:start="720" w:end="0"/>
      <w:outlineLvl w:val="5"/>
    </w:pPr>
    <w:rPr>
      <w:rFonts w:ascii="Arial" w:hAnsi="Arial" w:cs="Arial"/>
      <w:sz w:val="20"/>
      <w:u w:val="single"/>
    </w:rPr>
  </w:style>
  <w:style w:type="paragraph" w:styleId="Heading7">
    <w:name w:val="heading 7"/>
    <w:basedOn w:val="Normal"/>
    <w:next w:val="Normalindent"/>
    <w:qFormat/>
    <w:pPr>
      <w:numPr>
        <w:ilvl w:val="6"/>
        <w:numId w:val="1"/>
      </w:numPr>
      <w:ind w:hanging="0" w:start="720" w:end="0"/>
      <w:outlineLvl w:val="6"/>
    </w:pPr>
    <w:rPr>
      <w:rFonts w:ascii="Arial" w:hAnsi="Arial" w:cs="Arial"/>
      <w:i/>
      <w:sz w:val="20"/>
    </w:rPr>
  </w:style>
  <w:style w:type="paragraph" w:styleId="Heading8">
    <w:name w:val="heading 8"/>
    <w:basedOn w:val="Normal"/>
    <w:next w:val="Normalindent"/>
    <w:qFormat/>
    <w:pPr>
      <w:numPr>
        <w:ilvl w:val="7"/>
        <w:numId w:val="1"/>
      </w:numPr>
      <w:ind w:hanging="0" w:start="720" w:end="0"/>
      <w:outlineLvl w:val="7"/>
    </w:pPr>
    <w:rPr>
      <w:rFonts w:ascii="Arial" w:hAnsi="Arial" w:cs="Arial"/>
      <w:i/>
      <w:sz w:val="20"/>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1z0">
    <w:name w:val="WW8Num1z0"/>
    <w:qFormat/>
    <w:rPr/>
  </w:style>
  <w:style w:type="character" w:styleId="WW8Num2z0">
    <w:name w:val="WW8Num2z0"/>
    <w:qFormat/>
    <w:rPr>
      <w:rFonts w:ascii="Times New Roman" w:hAnsi="Times New Roman" w:cs="Times New Roman"/>
      <w:b w:val="false"/>
      <w:i w:val="false"/>
      <w:sz w:val="24"/>
      <w:u w:val="none"/>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Presentation">
    <w:name w:val="Presentation"/>
    <w:basedOn w:val="Normal"/>
    <w:qFormat/>
    <w:pPr/>
    <w:rPr/>
  </w:style>
  <w:style w:type="paragraph" w:styleId="PresFont">
    <w:name w:val="PresFont"/>
    <w:basedOn w:val="Normal"/>
    <w:qFormat/>
    <w:pPr/>
    <w:rPr/>
  </w:style>
  <w:style w:type="paragraph" w:styleId="PresSub">
    <w:name w:val="PresSub"/>
    <w:basedOn w:val="Normal"/>
    <w:qFormat/>
    <w:pPr/>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firstLine="720" w:start="576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28" w:leader="none"/>
      </w:tabs>
    </w:pPr>
    <w:rPr/>
  </w:style>
  <w:style w:type="paragraph" w:styleId="BodyTextIndent">
    <w:name w:val="Body Text Indent"/>
    <w:basedOn w:val="Normal"/>
    <w:pPr>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ind w:hanging="360" w:start="1170" w:end="0"/>
    </w:pPr>
    <w:rPr>
      <w:sz w:val="20"/>
    </w:rPr>
  </w:style>
  <w:style w:type="paragraph" w:styleId="BodyTextIndent2">
    <w:name w:val="Body Text Indent 2"/>
    <w:basedOn w:val="Normal"/>
    <w:qFormat/>
    <w:pPr>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080" w:start="1620" w:end="0"/>
      <w:jc w:val="both"/>
    </w:pPr>
    <w:rPr>
      <w:sz w:val="20"/>
    </w:rPr>
  </w:style>
  <w:style w:type="paragraph" w:styleId="BodyTextIndent3">
    <w:name w:val="Body Text Indent 3"/>
    <w:basedOn w:val="Normal"/>
    <w:qFormat/>
    <w:pPr>
      <w:tabs>
        <w:tab w:val="left" w:pos="0" w:leader="none"/>
        <w:tab w:val="left" w:pos="720" w:leader="none"/>
        <w:tab w:val="left" w:pos="810" w:leader="none"/>
        <w:tab w:val="left" w:pos="16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810" w:start="1620" w:end="0"/>
      <w:jc w:val="both"/>
    </w:pPr>
    <w:rPr>
      <w:sz w:val="20"/>
    </w:rPr>
  </w:style>
  <w:style w:type="paragraph" w:styleId="BodyText2">
    <w:name w:val="Body Text 2"/>
    <w:basedOn w:val="Normal"/>
    <w:qFormat/>
    <w:pPr>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pPr>
    <w:rPr>
      <w:sz w:val="20"/>
    </w:rPr>
  </w:style>
  <w:style w:type="paragraph" w:styleId="BodyText3">
    <w:name w:val="Body Text 3"/>
    <w:basedOn w:val="Normal"/>
    <w:qFormat/>
    <w:pPr>
      <w:tabs>
        <w:tab w:val="clear" w:pos="720"/>
        <w:tab w:val="left" w:pos="288" w:leader="none"/>
        <w:tab w:val="left" w:pos="1008" w:leader="none"/>
        <w:tab w:val="left" w:pos="1728" w:leader="none"/>
        <w:tab w:val="left" w:pos="2448" w:leader="none"/>
        <w:tab w:val="left" w:pos="3168" w:leader="none"/>
        <w:tab w:val="left" w:pos="3888" w:leader="none"/>
        <w:tab w:val="left" w:pos="4608" w:leader="none"/>
        <w:tab w:val="left" w:pos="5328" w:leader="none"/>
        <w:tab w:val="left" w:pos="6048" w:leader="none"/>
        <w:tab w:val="left" w:pos="6768" w:leader="none"/>
        <w:tab w:val="left" w:pos="7488" w:leader="none"/>
        <w:tab w:val="left" w:pos="8208" w:leader="none"/>
      </w:tabs>
      <w:jc w:val="both"/>
    </w:pPr>
    <w:rPr>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2.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2001-01-04T16:13:00Z</dcterms:created>
  <dc:creator>Craig Ames</dc:creator>
  <dc:description/>
  <cp:keywords>doc</cp:keywords>
  <dc:language>en-CA</dc:language>
  <cp:lastModifiedBy>J.P. Morgan</cp:lastModifiedBy>
  <cp:lastPrinted>2000-09-14T10:56:00Z</cp:lastPrinted>
  <dcterms:modified xsi:type="dcterms:W3CDTF">2001-01-04T16:13:00Z</dcterms:modified>
  <cp:revision>2</cp:revision>
  <dc:subject/>
  <dc:title>				</dc:title>
</cp:coreProperties>
</file>