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9350" w:type="dxa"/>
        <w:jc w:val="start"/>
        <w:tblInd w:w="-432" w:type="dxa"/>
        <w:tblLayout w:type="fixed"/>
        <w:tblCellMar>
          <w:top w:w="0" w:type="dxa"/>
          <w:start w:w="108" w:type="dxa"/>
          <w:bottom w:w="0" w:type="dxa"/>
          <w:end w:w="108" w:type="dxa"/>
        </w:tblCellMar>
      </w:tblPr>
      <w:tblGrid>
        <w:gridCol w:w="1440"/>
        <w:gridCol w:w="2034"/>
        <w:gridCol w:w="1836"/>
        <w:gridCol w:w="2898"/>
        <w:gridCol w:w="1350"/>
        <w:gridCol w:w="2736"/>
        <w:gridCol w:w="4230"/>
        <w:gridCol w:w="2826"/>
      </w:tblGrid>
      <w:tr>
        <w:trPr/>
        <w:tc>
          <w:tcPr>
            <w:tcW w:w="19350" w:type="dxa"/>
            <w:gridSpan w:val="8"/>
            <w:tcBorders>
              <w:top w:val="single" w:sz="4" w:space="0" w:color="000000"/>
              <w:start w:val="single" w:sz="4" w:space="0" w:color="000000"/>
              <w:bottom w:val="single" w:sz="4" w:space="0" w:color="000000"/>
              <w:end w:val="single" w:sz="4" w:space="0" w:color="000000"/>
            </w:tcBorders>
            <w:shd w:fill="FFFF00" w:val="clear"/>
          </w:tcPr>
          <w:p>
            <w:pPr>
              <w:pStyle w:val="Heading5"/>
              <w:ind w:hanging="0" w:start="0"/>
              <w:rPr>
                <w:i w:val="false"/>
                <w:i w:val="false"/>
                <w:sz w:val="24"/>
              </w:rPr>
            </w:pPr>
            <w:r>
              <w:rPr>
                <w:i w:val="false"/>
                <w:sz w:val="24"/>
              </w:rPr>
              <w:t>Project Objective</w:t>
            </w:r>
          </w:p>
        </w:tc>
      </w:tr>
      <w:tr>
        <w:trPr/>
        <w:tc>
          <w:tcPr>
            <w:tcW w:w="19350" w:type="dxa"/>
            <w:gridSpan w:val="8"/>
            <w:tcBorders>
              <w:top w:val="single" w:sz="4" w:space="0" w:color="000000"/>
              <w:start w:val="single" w:sz="4" w:space="0" w:color="000000"/>
              <w:bottom w:val="single" w:sz="4" w:space="0" w:color="000000"/>
              <w:end w:val="single" w:sz="4" w:space="0" w:color="000000"/>
            </w:tcBorders>
          </w:tcPr>
          <w:p>
            <w:pPr>
              <w:pStyle w:val="BodyText3"/>
              <w:rPr/>
            </w:pPr>
            <w:r>
              <w:rPr/>
              <w:t>Our review was designed to identify and test key policies, procedures, and controls related to the  1) compilation of the Daily Position Report and consolidation/creation of V@R,  2) production of the Benchmark Report, 3) validation of curves created by individual business segments, and 4) identification and notification of limit violations.</w:t>
            </w:r>
          </w:p>
        </w:tc>
      </w:tr>
      <w:tr>
        <w:trPr/>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Project Name</w:t>
            </w:r>
          </w:p>
        </w:tc>
        <w:tc>
          <w:tcPr>
            <w:tcW w:w="203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1836"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898"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35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0"/>
              </w:rPr>
            </w:pPr>
            <w:r>
              <w:rPr>
                <w:b/>
                <w:sz w:val="20"/>
                <w:shd w:fill="FF0000" w:val="clear"/>
              </w:rPr>
              <w:t>Objective Met?</w:t>
            </w:r>
          </w:p>
        </w:tc>
        <w:tc>
          <w:tcPr>
            <w:tcW w:w="2736"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423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2826"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ind w:end="-18"/>
              <w:jc w:val="center"/>
              <w:rPr>
                <w:b/>
                <w:sz w:val="24"/>
              </w:rPr>
            </w:pPr>
            <w:r>
              <w:rPr>
                <w:b/>
                <w:sz w:val="24"/>
              </w:rPr>
              <w:t>Person &amp; Target Date</w:t>
            </w:r>
          </w:p>
        </w:tc>
      </w:tr>
      <w:tr>
        <w:trPr>
          <w:trHeight w:val="2910"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pacing w:lineRule="auto" w:line="240"/>
              <w:rPr>
                <w:rFonts w:ascii="Book Antiqua" w:hAnsi="Book Antiqua" w:cs="Book Antiqua"/>
                <w:u w:val="single"/>
              </w:rPr>
            </w:pPr>
            <w:r>
              <w:rPr>
                <w:rFonts w:cs="Book Antiqua" w:ascii="Book Antiqua" w:hAnsi="Book Antiqua"/>
                <w:u w:val="single"/>
              </w:rPr>
              <w:t>RISK CONTROLS</w:t>
            </w:r>
          </w:p>
        </w:tc>
        <w:tc>
          <w:tcPr>
            <w:tcW w:w="203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Financial and Operational Completeness and Accuracy</w:t>
            </w:r>
          </w:p>
        </w:tc>
        <w:tc>
          <w:tcPr>
            <w:tcW w:w="183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 xml:space="preserve">Trading Operations </w:t>
            </w:r>
          </w:p>
          <w:p>
            <w:pPr>
              <w:pStyle w:val="Normal"/>
              <w:tabs>
                <w:tab w:val="clear" w:pos="720"/>
                <w:tab w:val="left" w:pos="2520" w:leader="none"/>
                <w:tab w:val="left" w:pos="2700" w:leader="none"/>
              </w:tabs>
              <w:rPr>
                <w:sz w:val="18"/>
              </w:rPr>
            </w:pPr>
            <w:r>
              <w:rPr>
                <w:sz w:val="18"/>
              </w:rPr>
              <w:t>(Deal Capture)</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 xml:space="preserve">Ensure transactions are properly (completely and accurately) captured and aggregated for position reporting, monitoring, and valuation purposes.  </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No</w:t>
            </w:r>
          </w:p>
        </w:tc>
        <w:tc>
          <w:tcPr>
            <w:tcW w:w="273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tabs>
                <w:tab w:val="clear" w:pos="720"/>
                <w:tab w:val="left" w:pos="162" w:leader="none"/>
              </w:tabs>
              <w:rPr>
                <w:sz w:val="18"/>
              </w:rPr>
            </w:pPr>
            <w:r>
              <w:rPr>
                <w:sz w:val="18"/>
              </w:rPr>
              <w:t>None</w:t>
            </w:r>
          </w:p>
        </w:tc>
        <w:tc>
          <w:tcPr>
            <w:tcW w:w="4230" w:type="dxa"/>
            <w:tcBorders>
              <w:top w:val="single" w:sz="6" w:space="0" w:color="000000"/>
              <w:start w:val="single" w:sz="6" w:space="0" w:color="000000"/>
              <w:bottom w:val="single" w:sz="6" w:space="0" w:color="000000"/>
              <w:end w:val="single" w:sz="6" w:space="0" w:color="000000"/>
            </w:tcBorders>
          </w:tcPr>
          <w:p>
            <w:pPr>
              <w:pStyle w:val="Normal"/>
              <w:numPr>
                <w:ilvl w:val="0"/>
                <w:numId w:val="25"/>
              </w:numPr>
              <w:ind w:hanging="180" w:start="180" w:end="0"/>
              <w:rPr>
                <w:sz w:val="18"/>
              </w:rPr>
            </w:pPr>
            <w:r>
              <w:rPr>
                <w:sz w:val="18"/>
                <w:lang w:eastAsia="en-US"/>
              </w:rPr>
              <w:t xml:space="preserve">During May 2000, the financial leg of the Merrill Lynch deal was taken out of the mark-to-market books.  As a result, position, maturity/gap risk, V@R and P&amp;L were incorrectly stated for North America Power.  Due to the volumetric impact of the Merrill Lynch deal and the volatility of the power market during this month,  exclusion  resulted in inaccurate reporting of North America power position, maturity/gap risk, V@R and P&amp;L.  </w:t>
            </w:r>
          </w:p>
        </w:tc>
        <w:tc>
          <w:tcPr>
            <w:tcW w:w="2826" w:type="dxa"/>
            <w:tcBorders>
              <w:top w:val="single" w:sz="6" w:space="0" w:color="000000"/>
              <w:start w:val="single" w:sz="6" w:space="0" w:color="000000"/>
              <w:bottom w:val="single" w:sz="6" w:space="0" w:color="000000"/>
              <w:end w:val="single" w:sz="6" w:space="0" w:color="000000"/>
            </w:tcBorders>
          </w:tcPr>
          <w:p>
            <w:pPr>
              <w:pStyle w:val="EnvelopeReturn"/>
              <w:numPr>
                <w:ilvl w:val="0"/>
                <w:numId w:val="21"/>
              </w:numPr>
              <w:tabs>
                <w:tab w:val="clear" w:pos="1134"/>
              </w:tabs>
              <w:spacing w:lineRule="auto" w:line="240"/>
              <w:rPr>
                <w:rFonts w:ascii="Book Antiqua" w:hAnsi="Book Antiqua" w:cs="Book Antiqua"/>
                <w:sz w:val="18"/>
                <w:lang w:eastAsia="en-US"/>
              </w:rPr>
            </w:pPr>
            <w:r>
              <w:rPr>
                <w:rFonts w:cs="Book Antiqua" w:ascii="Book Antiqua" w:hAnsi="Book Antiqua"/>
                <w:sz w:val="18"/>
                <w:lang w:eastAsia="en-US"/>
              </w:rPr>
              <w:t>All trading transactions must</w:t>
            </w:r>
          </w:p>
          <w:p>
            <w:pPr>
              <w:pStyle w:val="Normal"/>
              <w:rPr>
                <w:sz w:val="18"/>
                <w:lang w:eastAsia="en-US"/>
              </w:rPr>
            </w:pPr>
            <w:r>
              <w:rPr>
                <w:rFonts w:eastAsia="Book Antiqua"/>
                <w:sz w:val="18"/>
                <w:lang w:eastAsia="en-US"/>
              </w:rPr>
              <w:t xml:space="preserve"> </w:t>
            </w:r>
            <w:r>
              <w:rPr>
                <w:sz w:val="18"/>
                <w:lang w:eastAsia="en-US"/>
              </w:rPr>
              <w:t>be captured in the</w:t>
            </w:r>
          </w:p>
          <w:p>
            <w:pPr>
              <w:pStyle w:val="Normal"/>
              <w:rPr>
                <w:sz w:val="18"/>
              </w:rPr>
            </w:pPr>
            <w:r>
              <w:rPr>
                <w:rFonts w:eastAsia="Book Antiqua"/>
                <w:sz w:val="18"/>
                <w:lang w:eastAsia="en-US"/>
              </w:rPr>
              <w:t xml:space="preserve">  </w:t>
            </w:r>
            <w:r>
              <w:rPr>
                <w:sz w:val="18"/>
                <w:lang w:eastAsia="en-US"/>
              </w:rPr>
              <w:t>DPR.</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tc>
      </w:tr>
      <w:tr>
        <w:trPr>
          <w:trHeight w:val="408"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napToGrid w:val="false"/>
              <w:spacing w:lineRule="auto" w:line="240"/>
              <w:rPr>
                <w:rFonts w:ascii="Book Antiqua" w:hAnsi="Book Antiqua" w:cs="Book Antiqua"/>
                <w:sz w:val="18"/>
                <w:u w:val="single"/>
              </w:rPr>
            </w:pPr>
            <w:r>
              <w:rPr>
                <w:rFonts w:cs="Book Antiqua" w:ascii="Book Antiqua" w:hAnsi="Book Antiqua"/>
                <w:sz w:val="18"/>
                <w:u w:val="single"/>
              </w:rPr>
            </w:r>
          </w:p>
        </w:tc>
        <w:tc>
          <w:tcPr>
            <w:tcW w:w="203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Financial Markets</w:t>
            </w:r>
          </w:p>
        </w:tc>
        <w:tc>
          <w:tcPr>
            <w:tcW w:w="183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Portfolio Monitoring, Analysis &amp; Management</w:t>
            </w:r>
          </w:p>
          <w:p>
            <w:pPr>
              <w:pStyle w:val="Normal"/>
              <w:tabs>
                <w:tab w:val="clear" w:pos="720"/>
                <w:tab w:val="left" w:pos="2520" w:leader="none"/>
                <w:tab w:val="left" w:pos="2700" w:leader="none"/>
              </w:tabs>
              <w:rPr>
                <w:sz w:val="18"/>
              </w:rPr>
            </w:pPr>
            <w:r>
              <w:rPr>
                <w:sz w:val="18"/>
              </w:rPr>
              <w:t>(Position Reporting</w:t>
            </w:r>
          </w:p>
          <w:p>
            <w:pPr>
              <w:pStyle w:val="Normal"/>
              <w:tabs>
                <w:tab w:val="clear" w:pos="720"/>
                <w:tab w:val="left" w:pos="2520" w:leader="none"/>
                <w:tab w:val="left" w:pos="2700" w:leader="none"/>
              </w:tabs>
              <w:rPr>
                <w:sz w:val="18"/>
              </w:rPr>
            </w:pPr>
            <w:r>
              <w:rPr>
                <w:sz w:val="18"/>
              </w:rPr>
              <w:t>Activities)</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 xml:space="preserve">Ensure transactions are properly (completely and accurately) captured and aggregated for position reporting, monitoring, and valuation purposes.  </w:t>
            </w:r>
          </w:p>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 xml:space="preserve">Ensure management reports accurately reflect each commodity group’s position, </w:t>
            </w:r>
            <w:r>
              <w:rPr>
                <w:sz w:val="18"/>
              </w:rPr>
              <w:t>V@R</w:t>
            </w:r>
            <w:r>
              <w:rPr>
                <w:rFonts w:cs="Book Antiqua" w:ascii="Book Antiqua" w:hAnsi="Book Antiqua"/>
                <w:sz w:val="18"/>
              </w:rPr>
              <w:t xml:space="preserve">, and Mat/gap risk. </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No</w:t>
            </w:r>
          </w:p>
        </w:tc>
        <w:tc>
          <w:tcPr>
            <w:tcW w:w="273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tabs>
                <w:tab w:val="clear" w:pos="720"/>
                <w:tab w:val="left" w:pos="162" w:leader="none"/>
              </w:tabs>
              <w:rPr>
                <w:sz w:val="18"/>
              </w:rPr>
            </w:pPr>
            <w:r>
              <w:rPr>
                <w:rFonts w:eastAsia="Book Antiqua"/>
                <w:sz w:val="18"/>
              </w:rPr>
              <w:t xml:space="preserve">  </w:t>
            </w:r>
            <w:r>
              <w:rPr>
                <w:sz w:val="18"/>
              </w:rPr>
              <w:t>The Risk Controls Group performs an independent check of each commodity’s position by reconciling the position pulled from GRMS  to the position reported by each commodity group (excluding gas).</w:t>
            </w:r>
          </w:p>
          <w:p>
            <w:pPr>
              <w:pStyle w:val="Normal"/>
              <w:tabs>
                <w:tab w:val="clear" w:pos="720"/>
                <w:tab w:val="left" w:pos="162" w:leader="none"/>
              </w:tabs>
              <w:rPr>
                <w:sz w:val="18"/>
              </w:rPr>
            </w:pPr>
            <w:r>
              <w:rPr>
                <w:sz w:val="18"/>
              </w:rPr>
            </w:r>
          </w:p>
        </w:tc>
        <w:tc>
          <w:tcPr>
            <w:tcW w:w="4230" w:type="dxa"/>
            <w:tcBorders>
              <w:top w:val="single" w:sz="6" w:space="0" w:color="000000"/>
              <w:start w:val="single" w:sz="6" w:space="0" w:color="000000"/>
              <w:bottom w:val="single" w:sz="6" w:space="0" w:color="000000"/>
              <w:end w:val="single" w:sz="6" w:space="0" w:color="000000"/>
            </w:tcBorders>
          </w:tcPr>
          <w:p>
            <w:pPr>
              <w:pStyle w:val="Normal"/>
              <w:numPr>
                <w:ilvl w:val="0"/>
                <w:numId w:val="25"/>
              </w:numPr>
              <w:ind w:hanging="180" w:start="180" w:end="0"/>
              <w:rPr>
                <w:color w:val="000000"/>
                <w:sz w:val="18"/>
                <w:lang w:eastAsia="en-US"/>
              </w:rPr>
            </w:pPr>
            <w:r>
              <w:rPr>
                <w:color w:val="000000"/>
                <w:sz w:val="18"/>
                <w:lang w:eastAsia="en-US"/>
              </w:rPr>
              <w:t>In April, the gas desk had several process deficiencies that affected the positions reported on the DPR and benchmark reports.  These include:</w:t>
            </w:r>
          </w:p>
          <w:p>
            <w:pPr>
              <w:pStyle w:val="Normal"/>
              <w:numPr>
                <w:ilvl w:val="0"/>
                <w:numId w:val="25"/>
              </w:numPr>
              <w:ind w:hanging="180" w:start="540" w:end="0"/>
              <w:rPr>
                <w:color w:val="000000"/>
                <w:sz w:val="18"/>
                <w:lang w:eastAsia="en-US"/>
              </w:rPr>
            </w:pPr>
            <w:r>
              <w:rPr>
                <w:color w:val="000000"/>
                <w:sz w:val="18"/>
                <w:lang w:eastAsia="en-US"/>
              </w:rPr>
              <w:t xml:space="preserve">New books were created without notification of the Risk Control Group to ensure the books were properly set up in GRMS </w:t>
            </w:r>
          </w:p>
          <w:p>
            <w:pPr>
              <w:pStyle w:val="Normal"/>
              <w:numPr>
                <w:ilvl w:val="0"/>
                <w:numId w:val="25"/>
              </w:numPr>
              <w:ind w:hanging="180" w:start="540" w:end="0"/>
              <w:rPr>
                <w:color w:val="000000"/>
                <w:sz w:val="18"/>
                <w:lang w:eastAsia="en-US"/>
              </w:rPr>
            </w:pPr>
            <w:r>
              <w:rPr>
                <w:color w:val="000000"/>
                <w:sz w:val="18"/>
                <w:lang w:eastAsia="en-US"/>
              </w:rPr>
              <w:t>Books were not made official in GRMS</w:t>
            </w:r>
          </w:p>
          <w:p>
            <w:pPr>
              <w:pStyle w:val="Normal"/>
              <w:numPr>
                <w:ilvl w:val="0"/>
                <w:numId w:val="25"/>
              </w:numPr>
              <w:ind w:hanging="180" w:start="540" w:end="0"/>
              <w:rPr>
                <w:color w:val="000000"/>
                <w:sz w:val="18"/>
                <w:lang w:eastAsia="en-US"/>
              </w:rPr>
            </w:pPr>
            <w:r>
              <w:rPr>
                <w:color w:val="000000"/>
                <w:sz w:val="18"/>
                <w:lang w:eastAsia="en-US"/>
              </w:rPr>
              <w:t xml:space="preserve">GRMS was incorrectly pulling data from the gas Excel files. </w:t>
            </w:r>
          </w:p>
          <w:p>
            <w:pPr>
              <w:pStyle w:val="Normal"/>
              <w:ind w:hanging="180" w:start="180" w:end="0"/>
              <w:rPr>
                <w:color w:val="000000"/>
                <w:sz w:val="18"/>
                <w:lang w:eastAsia="en-US"/>
              </w:rPr>
            </w:pPr>
            <w:r>
              <w:rPr>
                <w:color w:val="000000"/>
                <w:sz w:val="18"/>
                <w:lang w:eastAsia="en-US"/>
              </w:rPr>
              <w:tab/>
              <w:t>Consequently, the desk used book administrators’ “mini-benches” for reporting purposes.  However, since the positions were incomplete and/or inaccurate in GRMS, V@R and maturity/gap risk, were computed using incorrect positions.</w:t>
            </w:r>
          </w:p>
        </w:tc>
        <w:tc>
          <w:tcPr>
            <w:tcW w:w="2826" w:type="dxa"/>
            <w:tcBorders>
              <w:top w:val="single" w:sz="6" w:space="0" w:color="000000"/>
              <w:start w:val="single" w:sz="6" w:space="0" w:color="000000"/>
              <w:bottom w:val="single" w:sz="6" w:space="0" w:color="000000"/>
              <w:end w:val="single" w:sz="6" w:space="0" w:color="000000"/>
            </w:tcBorders>
          </w:tcPr>
          <w:p>
            <w:pPr>
              <w:pStyle w:val="Normal"/>
              <w:numPr>
                <w:ilvl w:val="0"/>
                <w:numId w:val="23"/>
              </w:numPr>
              <w:rPr>
                <w:sz w:val="18"/>
              </w:rPr>
            </w:pPr>
            <w:r>
              <w:rPr>
                <w:sz w:val="18"/>
              </w:rPr>
              <w:t>In order to ensure accurate and consistent position reporting, the gas desk should ensure that all gas positions are completely and accurately captured in GRMS.</w:t>
            </w:r>
          </w:p>
        </w:tc>
      </w:tr>
      <w:tr>
        <w:trPr/>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Project Name</w:t>
            </w:r>
          </w:p>
        </w:tc>
        <w:tc>
          <w:tcPr>
            <w:tcW w:w="203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1836"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898"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35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0"/>
              </w:rPr>
            </w:pPr>
            <w:r>
              <w:rPr>
                <w:b/>
                <w:sz w:val="20"/>
                <w:shd w:fill="FF0000" w:val="clear"/>
              </w:rPr>
              <w:t>Objective Met?</w:t>
            </w:r>
          </w:p>
        </w:tc>
        <w:tc>
          <w:tcPr>
            <w:tcW w:w="2736"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423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2826"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ind w:end="-18"/>
              <w:jc w:val="center"/>
              <w:rPr>
                <w:b/>
                <w:sz w:val="24"/>
              </w:rPr>
            </w:pPr>
            <w:r>
              <w:rPr>
                <w:b/>
                <w:sz w:val="24"/>
              </w:rPr>
              <w:t>Person &amp; Target Date</w:t>
            </w:r>
          </w:p>
        </w:tc>
      </w:tr>
      <w:tr>
        <w:trPr>
          <w:trHeight w:val="408"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napToGrid w:val="false"/>
              <w:spacing w:lineRule="auto" w:line="240"/>
              <w:rPr>
                <w:rFonts w:ascii="Book Antiqua" w:hAnsi="Book Antiqua" w:cs="Book Antiqua"/>
                <w:b/>
                <w:sz w:val="24"/>
                <w:u w:val="single"/>
              </w:rPr>
            </w:pPr>
            <w:r>
              <w:rPr>
                <w:rFonts w:cs="Book Antiqua" w:ascii="Book Antiqua" w:hAnsi="Book Antiqua"/>
                <w:b/>
                <w:sz w:val="24"/>
                <w:u w:val="single"/>
              </w:rPr>
            </w:r>
          </w:p>
        </w:tc>
        <w:tc>
          <w:tcPr>
            <w:tcW w:w="203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Financial Markets</w:t>
            </w:r>
          </w:p>
        </w:tc>
        <w:tc>
          <w:tcPr>
            <w:tcW w:w="183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Portfolio Monitoring, Analysis &amp; Management – (Position Reporting Activities)</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Ensure that all commodity group’s positions and P&amp;L are included in reports provided to management for decision-making purposes.</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No</w:t>
            </w:r>
          </w:p>
        </w:tc>
        <w:tc>
          <w:tcPr>
            <w:tcW w:w="273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tabs>
                <w:tab w:val="clear" w:pos="720"/>
                <w:tab w:val="left" w:pos="162" w:leader="none"/>
              </w:tabs>
              <w:rPr>
                <w:sz w:val="18"/>
              </w:rPr>
            </w:pPr>
            <w:r>
              <w:rPr>
                <w:sz w:val="18"/>
              </w:rPr>
              <w:t>None</w:t>
            </w:r>
          </w:p>
        </w:tc>
        <w:tc>
          <w:tcPr>
            <w:tcW w:w="4230" w:type="dxa"/>
            <w:tcBorders>
              <w:top w:val="single" w:sz="6" w:space="0" w:color="000000"/>
              <w:start w:val="single" w:sz="6" w:space="0" w:color="000000"/>
              <w:bottom w:val="single" w:sz="6" w:space="0" w:color="000000"/>
              <w:end w:val="single" w:sz="6" w:space="0" w:color="000000"/>
            </w:tcBorders>
          </w:tcPr>
          <w:p>
            <w:pPr>
              <w:pStyle w:val="Normal"/>
              <w:numPr>
                <w:ilvl w:val="0"/>
                <w:numId w:val="25"/>
              </w:numPr>
              <w:ind w:hanging="180" w:start="180" w:end="0"/>
              <w:rPr/>
            </w:pPr>
            <w:r>
              <w:rPr>
                <w:color w:val="000000"/>
                <w:sz w:val="18"/>
                <w:lang w:eastAsia="en-US"/>
              </w:rPr>
              <w:t>Newly formed commodities and existing commodities without a process for computing mark-to-market P&amp;L are not reported on the DPR.  For example, prior to late April, the Enron Corp Merchant Portfolio position and P&amp;L was not reported on the DPR because a process had not yet been established to compute its mark-to-market P&amp;L.</w:t>
            </w:r>
          </w:p>
        </w:tc>
        <w:tc>
          <w:tcPr>
            <w:tcW w:w="2826" w:type="dxa"/>
            <w:tcBorders>
              <w:top w:val="single" w:sz="6" w:space="0" w:color="000000"/>
              <w:start w:val="single" w:sz="6" w:space="0" w:color="000000"/>
              <w:bottom w:val="single" w:sz="6" w:space="0" w:color="000000"/>
              <w:end w:val="single" w:sz="6" w:space="0" w:color="000000"/>
            </w:tcBorders>
          </w:tcPr>
          <w:p>
            <w:pPr>
              <w:pStyle w:val="Normal"/>
              <w:numPr>
                <w:ilvl w:val="0"/>
                <w:numId w:val="23"/>
              </w:numPr>
              <w:ind w:hanging="283" w:start="283" w:end="306"/>
              <w:rPr>
                <w:sz w:val="18"/>
              </w:rPr>
            </w:pPr>
            <w:r>
              <w:rPr>
                <w:sz w:val="18"/>
              </w:rPr>
              <w:t>The Risk Controls Group should include a note on the DPR to alert management that the DPR does not include such commodity groups.</w:t>
            </w:r>
          </w:p>
        </w:tc>
      </w:tr>
      <w:tr>
        <w:trPr>
          <w:trHeight w:val="408"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napToGrid w:val="false"/>
              <w:spacing w:lineRule="auto" w:line="240"/>
              <w:rPr>
                <w:rFonts w:ascii="Book Antiqua" w:hAnsi="Book Antiqua" w:cs="Book Antiqua"/>
                <w:sz w:val="18"/>
                <w:u w:val="single"/>
              </w:rPr>
            </w:pPr>
            <w:r>
              <w:rPr>
                <w:rFonts w:cs="Book Antiqua" w:ascii="Book Antiqua" w:hAnsi="Book Antiqua"/>
                <w:sz w:val="18"/>
                <w:u w:val="single"/>
              </w:rPr>
            </w:r>
          </w:p>
        </w:tc>
        <w:tc>
          <w:tcPr>
            <w:tcW w:w="203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Credit/Counterparty</w:t>
            </w:r>
          </w:p>
        </w:tc>
        <w:tc>
          <w:tcPr>
            <w:tcW w:w="183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Overall Position Assessment and Management</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Verify that all limit violation notifications are sent on a timely basis.</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No</w:t>
            </w:r>
          </w:p>
        </w:tc>
        <w:tc>
          <w:tcPr>
            <w:tcW w:w="273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tabs>
                <w:tab w:val="clear" w:pos="720"/>
                <w:tab w:val="left" w:pos="162" w:leader="none"/>
              </w:tabs>
              <w:rPr>
                <w:sz w:val="18"/>
              </w:rPr>
            </w:pPr>
            <w:r>
              <w:rPr>
                <w:rFonts w:eastAsia="Book Antiqua"/>
                <w:sz w:val="18"/>
              </w:rPr>
              <w:t xml:space="preserve">   </w:t>
            </w:r>
            <w:r>
              <w:rPr>
                <w:sz w:val="18"/>
              </w:rPr>
              <w:t>Risk Control Group monitors and reports limit violations for positions, maturity/  gap risk, V@R and P&amp;L</w:t>
            </w:r>
          </w:p>
        </w:tc>
        <w:tc>
          <w:tcPr>
            <w:tcW w:w="4230" w:type="dxa"/>
            <w:tcBorders>
              <w:top w:val="single" w:sz="6" w:space="0" w:color="000000"/>
              <w:start w:val="single" w:sz="6" w:space="0" w:color="000000"/>
              <w:bottom w:val="single" w:sz="6" w:space="0" w:color="000000"/>
              <w:end w:val="single" w:sz="6" w:space="0" w:color="000000"/>
            </w:tcBorders>
          </w:tcPr>
          <w:p>
            <w:pPr>
              <w:pStyle w:val="Normal"/>
              <w:numPr>
                <w:ilvl w:val="0"/>
                <w:numId w:val="25"/>
              </w:numPr>
              <w:ind w:hanging="180" w:start="180" w:end="0"/>
              <w:rPr/>
            </w:pPr>
            <w:r>
              <w:rPr>
                <w:color w:val="000000"/>
                <w:sz w:val="18"/>
                <w:lang w:eastAsia="en-US"/>
              </w:rPr>
              <w:t>In certain circumstances, limit violation letters were not prepared and appropriate signatures were not obtained in a timely manner.</w:t>
            </w:r>
          </w:p>
        </w:tc>
        <w:tc>
          <w:tcPr>
            <w:tcW w:w="2826" w:type="dxa"/>
            <w:tcBorders>
              <w:top w:val="single" w:sz="6" w:space="0" w:color="000000"/>
              <w:start w:val="single" w:sz="6" w:space="0" w:color="000000"/>
              <w:bottom w:val="single" w:sz="6" w:space="0" w:color="000000"/>
              <w:end w:val="single" w:sz="6" w:space="0" w:color="000000"/>
            </w:tcBorders>
          </w:tcPr>
          <w:p>
            <w:pPr>
              <w:pStyle w:val="Normal"/>
              <w:numPr>
                <w:ilvl w:val="0"/>
                <w:numId w:val="23"/>
              </w:numPr>
              <w:rPr>
                <w:sz w:val="18"/>
              </w:rPr>
            </w:pPr>
            <w:r>
              <w:rPr>
                <w:sz w:val="18"/>
              </w:rPr>
              <w:t>In order to limit Enron Corp’s risk exposure, the Risk Controls Group should ensure that management is notified of limit violations, and that action to correct the violation is maintained in a timely manner.</w:t>
            </w:r>
          </w:p>
          <w:p>
            <w:pPr>
              <w:pStyle w:val="Normal"/>
              <w:rPr>
                <w:sz w:val="18"/>
              </w:rPr>
            </w:pPr>
            <w:r>
              <w:rPr>
                <w:sz w:val="18"/>
              </w:rPr>
            </w:r>
          </w:p>
          <w:p>
            <w:pPr>
              <w:pStyle w:val="Normal"/>
              <w:rPr>
                <w:sz w:val="18"/>
              </w:rPr>
            </w:pPr>
            <w:r>
              <w:rPr>
                <w:sz w:val="18"/>
              </w:rPr>
            </w:r>
          </w:p>
        </w:tc>
      </w:tr>
      <w:tr>
        <w:trPr>
          <w:trHeight w:val="408"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napToGrid w:val="false"/>
              <w:spacing w:lineRule="auto" w:line="240"/>
              <w:rPr>
                <w:rFonts w:ascii="Book Antiqua" w:hAnsi="Book Antiqua" w:cs="Book Antiqua"/>
                <w:sz w:val="18"/>
                <w:u w:val="single"/>
              </w:rPr>
            </w:pPr>
            <w:r>
              <w:rPr>
                <w:rFonts w:cs="Book Antiqua" w:ascii="Book Antiqua" w:hAnsi="Book Antiqua"/>
                <w:sz w:val="18"/>
                <w:u w:val="single"/>
              </w:rPr>
            </w:r>
          </w:p>
        </w:tc>
        <w:tc>
          <w:tcPr>
            <w:tcW w:w="203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Financial and Operational Completeness and Accuracy</w:t>
            </w:r>
          </w:p>
        </w:tc>
        <w:tc>
          <w:tcPr>
            <w:tcW w:w="183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Trading Operations – (Position Reporting)</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Ensure all positions are properly disclosed for reporting purposes.</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No</w:t>
            </w:r>
          </w:p>
        </w:tc>
        <w:tc>
          <w:tcPr>
            <w:tcW w:w="273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tabs>
                <w:tab w:val="clear" w:pos="720"/>
                <w:tab w:val="left" w:pos="162" w:leader="none"/>
              </w:tabs>
              <w:rPr>
                <w:sz w:val="18"/>
              </w:rPr>
            </w:pPr>
            <w:r>
              <w:rPr>
                <w:sz w:val="18"/>
              </w:rPr>
              <w:t>None</w:t>
            </w:r>
          </w:p>
        </w:tc>
        <w:tc>
          <w:tcPr>
            <w:tcW w:w="4230" w:type="dxa"/>
            <w:tcBorders>
              <w:top w:val="single" w:sz="6" w:space="0" w:color="000000"/>
              <w:start w:val="single" w:sz="6" w:space="0" w:color="000000"/>
              <w:bottom w:val="single" w:sz="6" w:space="0" w:color="000000"/>
              <w:end w:val="single" w:sz="6" w:space="0" w:color="000000"/>
            </w:tcBorders>
          </w:tcPr>
          <w:p>
            <w:pPr>
              <w:pStyle w:val="Normal"/>
              <w:numPr>
                <w:ilvl w:val="0"/>
                <w:numId w:val="25"/>
              </w:numPr>
              <w:ind w:hanging="180" w:start="180" w:end="0"/>
              <w:rPr/>
            </w:pPr>
            <w:r>
              <w:rPr>
                <w:color w:val="000000"/>
                <w:sz w:val="18"/>
                <w:lang w:eastAsia="en-US"/>
              </w:rPr>
              <w:t>EES gas and power positions appear on the DPR both within the ENA net open positions and separately as EES positions.</w:t>
            </w:r>
          </w:p>
        </w:tc>
        <w:tc>
          <w:tcPr>
            <w:tcW w:w="2826" w:type="dxa"/>
            <w:tcBorders>
              <w:top w:val="single" w:sz="6" w:space="0" w:color="000000"/>
              <w:start w:val="single" w:sz="6" w:space="0" w:color="000000"/>
              <w:bottom w:val="single" w:sz="6" w:space="0" w:color="000000"/>
              <w:end w:val="single" w:sz="6" w:space="0" w:color="000000"/>
            </w:tcBorders>
          </w:tcPr>
          <w:p>
            <w:pPr>
              <w:pStyle w:val="Normal"/>
              <w:numPr>
                <w:ilvl w:val="0"/>
                <w:numId w:val="23"/>
              </w:numPr>
              <w:rPr>
                <w:sz w:val="18"/>
              </w:rPr>
            </w:pPr>
            <w:r>
              <w:rPr>
                <w:sz w:val="18"/>
              </w:rPr>
              <w:t>The Risk Controls Group should disclose that there is dual presentation on the DPR.</w:t>
            </w:r>
          </w:p>
          <w:p>
            <w:pPr>
              <w:pStyle w:val="Normal"/>
              <w:rPr>
                <w:sz w:val="18"/>
              </w:rPr>
            </w:pPr>
            <w:r>
              <w:rPr>
                <w:sz w:val="18"/>
              </w:rPr>
            </w:r>
          </w:p>
          <w:p>
            <w:pPr>
              <w:pStyle w:val="Normal"/>
              <w:rPr>
                <w:sz w:val="18"/>
              </w:rPr>
            </w:pPr>
            <w:r>
              <w:rPr>
                <w:sz w:val="18"/>
              </w:rPr>
            </w:r>
          </w:p>
        </w:tc>
      </w:tr>
      <w:tr>
        <w:trPr>
          <w:trHeight w:val="408"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napToGrid w:val="false"/>
              <w:spacing w:lineRule="auto" w:line="240"/>
              <w:rPr>
                <w:rFonts w:ascii="Book Antiqua" w:hAnsi="Book Antiqua" w:cs="Book Antiqua"/>
                <w:sz w:val="18"/>
                <w:u w:val="single"/>
              </w:rPr>
            </w:pPr>
            <w:r>
              <w:rPr>
                <w:rFonts w:cs="Book Antiqua" w:ascii="Book Antiqua" w:hAnsi="Book Antiqua"/>
                <w:sz w:val="18"/>
                <w:u w:val="single"/>
              </w:rPr>
            </w:r>
          </w:p>
        </w:tc>
        <w:tc>
          <w:tcPr>
            <w:tcW w:w="203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Financial Markets</w:t>
            </w:r>
          </w:p>
        </w:tc>
        <w:tc>
          <w:tcPr>
            <w:tcW w:w="183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Position Reporting</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Ensure positions are properly captured and aggregated for reporting, monitoring, and valuation purposes.</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No</w:t>
            </w:r>
          </w:p>
        </w:tc>
        <w:tc>
          <w:tcPr>
            <w:tcW w:w="273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tabs>
                <w:tab w:val="clear" w:pos="720"/>
                <w:tab w:val="left" w:pos="162" w:leader="none"/>
              </w:tabs>
              <w:rPr>
                <w:sz w:val="18"/>
              </w:rPr>
            </w:pPr>
            <w:r>
              <w:rPr>
                <w:sz w:val="18"/>
              </w:rPr>
              <w:t>None</w:t>
            </w:r>
          </w:p>
        </w:tc>
        <w:tc>
          <w:tcPr>
            <w:tcW w:w="4230" w:type="dxa"/>
            <w:tcBorders>
              <w:top w:val="single" w:sz="6" w:space="0" w:color="000000"/>
              <w:start w:val="single" w:sz="6" w:space="0" w:color="000000"/>
              <w:bottom w:val="single" w:sz="6" w:space="0" w:color="000000"/>
              <w:end w:val="single" w:sz="6" w:space="0" w:color="000000"/>
            </w:tcBorders>
          </w:tcPr>
          <w:p>
            <w:pPr>
              <w:pStyle w:val="Normal"/>
              <w:numPr>
                <w:ilvl w:val="0"/>
                <w:numId w:val="25"/>
              </w:numPr>
              <w:ind w:hanging="180" w:start="180" w:end="0"/>
              <w:rPr/>
            </w:pPr>
            <w:r>
              <w:rPr>
                <w:color w:val="000000"/>
                <w:sz w:val="18"/>
                <w:lang w:eastAsia="en-US"/>
              </w:rPr>
              <w:t>Currently, intra-month Canada gas positions are reported in a method inconsistent with GRMS.  Discrepancies result from differences between the U.S. and Canadian intra-month liquidations.  In addition, North America natural gas maturity/gap risk is inaccurate since Canada reports its deals in “time buckets,” resulting in the inability of the gas desk to determine the twelve month period to which the positions relate.</w:t>
            </w:r>
          </w:p>
        </w:tc>
        <w:tc>
          <w:tcPr>
            <w:tcW w:w="2826" w:type="dxa"/>
            <w:tcBorders>
              <w:top w:val="single" w:sz="6" w:space="0" w:color="000000"/>
              <w:start w:val="single" w:sz="6" w:space="0" w:color="000000"/>
              <w:bottom w:val="single" w:sz="6" w:space="0" w:color="000000"/>
              <w:end w:val="single" w:sz="6" w:space="0" w:color="000000"/>
            </w:tcBorders>
          </w:tcPr>
          <w:p>
            <w:pPr>
              <w:pStyle w:val="Normal"/>
              <w:numPr>
                <w:ilvl w:val="0"/>
                <w:numId w:val="25"/>
              </w:numPr>
              <w:ind w:hanging="180" w:start="180" w:end="0"/>
              <w:rPr>
                <w:color w:val="000000"/>
                <w:sz w:val="18"/>
                <w:lang w:eastAsia="en-US"/>
              </w:rPr>
            </w:pPr>
            <w:r>
              <w:rPr>
                <w:color w:val="000000"/>
                <w:sz w:val="18"/>
                <w:lang w:eastAsia="en-US"/>
              </w:rPr>
              <w:t>The gas desk should ensure that all positions are completely and accurately reflected in GRMS.</w:t>
            </w:r>
          </w:p>
          <w:p>
            <w:pPr>
              <w:pStyle w:val="Normal"/>
              <w:rPr>
                <w:color w:val="000000"/>
                <w:sz w:val="18"/>
                <w:lang w:eastAsia="en-US"/>
              </w:rPr>
            </w:pPr>
            <w:r>
              <w:rPr>
                <w:color w:val="000000"/>
                <w:sz w:val="18"/>
                <w:lang w:eastAsia="en-US"/>
              </w:rPr>
            </w:r>
          </w:p>
        </w:tc>
      </w:tr>
      <w:tr>
        <w:trPr/>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Project Name</w:t>
            </w:r>
          </w:p>
        </w:tc>
        <w:tc>
          <w:tcPr>
            <w:tcW w:w="203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1836"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898"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35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0"/>
              </w:rPr>
            </w:pPr>
            <w:r>
              <w:rPr>
                <w:b/>
                <w:sz w:val="20"/>
                <w:shd w:fill="FF0000" w:val="clear"/>
              </w:rPr>
              <w:t>Objective Met?</w:t>
            </w:r>
          </w:p>
        </w:tc>
        <w:tc>
          <w:tcPr>
            <w:tcW w:w="2736"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423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2826"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ind w:end="-18"/>
              <w:jc w:val="center"/>
              <w:rPr>
                <w:b/>
                <w:sz w:val="24"/>
              </w:rPr>
            </w:pPr>
            <w:r>
              <w:rPr>
                <w:b/>
                <w:sz w:val="24"/>
              </w:rPr>
              <w:t>Person &amp; Target Date</w:t>
            </w:r>
          </w:p>
        </w:tc>
      </w:tr>
      <w:tr>
        <w:trPr>
          <w:trHeight w:val="408"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napToGrid w:val="false"/>
              <w:spacing w:lineRule="auto" w:line="240"/>
              <w:rPr>
                <w:rFonts w:ascii="Book Antiqua" w:hAnsi="Book Antiqua" w:cs="Book Antiqua"/>
                <w:b/>
                <w:sz w:val="24"/>
                <w:u w:val="single"/>
              </w:rPr>
            </w:pPr>
            <w:r>
              <w:rPr>
                <w:rFonts w:cs="Book Antiqua" w:ascii="Book Antiqua" w:hAnsi="Book Antiqua"/>
                <w:b/>
                <w:sz w:val="24"/>
                <w:u w:val="single"/>
              </w:rPr>
            </w:r>
          </w:p>
        </w:tc>
        <w:tc>
          <w:tcPr>
            <w:tcW w:w="203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Financial Markets</w:t>
            </w:r>
          </w:p>
        </w:tc>
        <w:tc>
          <w:tcPr>
            <w:tcW w:w="183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 xml:space="preserve">Portfolio Monitoring, Analysis &amp; Management </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 xml:space="preserve">Ensure that the proper information is reported for all commodity groups as set forth in the Enron Corp. Risk Management Policy </w:t>
            </w:r>
          </w:p>
          <w:p>
            <w:pPr>
              <w:pStyle w:val="EnvelopeReturn"/>
              <w:tabs>
                <w:tab w:val="clear" w:pos="1134"/>
              </w:tabs>
              <w:spacing w:lineRule="auto" w:line="240"/>
              <w:rPr>
                <w:rFonts w:ascii="Book Antiqua" w:hAnsi="Book Antiqua" w:cs="Book Antiqua"/>
                <w:sz w:val="18"/>
              </w:rPr>
            </w:pPr>
            <w:r>
              <w:rPr>
                <w:rFonts w:cs="Book Antiqua" w:ascii="Book Antiqua" w:hAnsi="Book Antiqua"/>
                <w:sz w:val="18"/>
              </w:rPr>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No</w:t>
            </w:r>
          </w:p>
        </w:tc>
        <w:tc>
          <w:tcPr>
            <w:tcW w:w="273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tabs>
                <w:tab w:val="clear" w:pos="720"/>
                <w:tab w:val="left" w:pos="162" w:leader="none"/>
              </w:tabs>
              <w:rPr>
                <w:sz w:val="18"/>
              </w:rPr>
            </w:pPr>
            <w:r>
              <w:rPr>
                <w:rFonts w:eastAsia="Book Antiqua"/>
                <w:sz w:val="18"/>
              </w:rPr>
              <w:t xml:space="preserve">   </w:t>
            </w:r>
            <w:r>
              <w:rPr>
                <w:sz w:val="18"/>
              </w:rPr>
              <w:t>Risk Control Group monitors and reports limit violations for positions, maturity / gap risk, V@R and P&amp;L</w:t>
            </w:r>
          </w:p>
          <w:p>
            <w:pPr>
              <w:pStyle w:val="Normal"/>
              <w:tabs>
                <w:tab w:val="clear" w:pos="720"/>
                <w:tab w:val="left" w:pos="162" w:leader="none"/>
              </w:tabs>
              <w:rPr>
                <w:sz w:val="18"/>
              </w:rPr>
            </w:pPr>
            <w:r>
              <w:rPr>
                <w:sz w:val="18"/>
              </w:rPr>
            </w:r>
          </w:p>
        </w:tc>
        <w:tc>
          <w:tcPr>
            <w:tcW w:w="4230" w:type="dxa"/>
            <w:tcBorders>
              <w:top w:val="single" w:sz="6" w:space="0" w:color="000000"/>
              <w:start w:val="single" w:sz="6" w:space="0" w:color="000000"/>
              <w:bottom w:val="single" w:sz="6" w:space="0" w:color="000000"/>
              <w:end w:val="single" w:sz="6" w:space="0" w:color="000000"/>
            </w:tcBorders>
          </w:tcPr>
          <w:p>
            <w:pPr>
              <w:pStyle w:val="Normal"/>
              <w:numPr>
                <w:ilvl w:val="0"/>
                <w:numId w:val="25"/>
              </w:numPr>
              <w:ind w:hanging="180" w:start="180" w:end="0"/>
              <w:rPr>
                <w:color w:val="000000"/>
                <w:sz w:val="18"/>
                <w:lang w:eastAsia="en-US"/>
              </w:rPr>
            </w:pPr>
            <w:r>
              <w:rPr>
                <w:color w:val="000000"/>
                <w:sz w:val="18"/>
                <w:lang w:eastAsia="en-US"/>
              </w:rPr>
              <w:t>In April, maturity/gap risk was not properly reported in the following instances:</w:t>
            </w:r>
          </w:p>
          <w:p>
            <w:pPr>
              <w:pStyle w:val="Normal"/>
              <w:numPr>
                <w:ilvl w:val="0"/>
                <w:numId w:val="18"/>
              </w:numPr>
              <w:ind w:hanging="0" w:start="456" w:end="0"/>
              <w:rPr>
                <w:color w:val="000000"/>
                <w:sz w:val="18"/>
                <w:lang w:eastAsia="en-US"/>
              </w:rPr>
            </w:pPr>
            <w:r>
              <w:rPr>
                <w:rFonts w:eastAsia="Book Antiqua"/>
                <w:color w:val="000000"/>
                <w:sz w:val="18"/>
                <w:lang w:eastAsia="en-US"/>
              </w:rPr>
              <w:t xml:space="preserve">   </w:t>
            </w:r>
            <w:r>
              <w:rPr>
                <w:color w:val="000000"/>
                <w:sz w:val="18"/>
                <w:lang w:eastAsia="en-US"/>
              </w:rPr>
              <w:t>Maturity/gap risk was not reported on</w:t>
            </w:r>
          </w:p>
          <w:p>
            <w:pPr>
              <w:pStyle w:val="Normal"/>
              <w:ind w:start="456" w:end="0"/>
              <w:rPr>
                <w:color w:val="000000"/>
                <w:sz w:val="18"/>
                <w:lang w:eastAsia="en-US"/>
              </w:rPr>
            </w:pPr>
            <w:r>
              <w:rPr>
                <w:rFonts w:eastAsia="Book Antiqua"/>
                <w:color w:val="000000"/>
                <w:sz w:val="18"/>
                <w:lang w:eastAsia="en-US"/>
              </w:rPr>
              <w:t xml:space="preserve">     </w:t>
            </w:r>
            <w:r>
              <w:rPr>
                <w:color w:val="000000"/>
                <w:sz w:val="18"/>
                <w:lang w:eastAsia="en-US"/>
              </w:rPr>
              <w:t>the DPR for Southern Cone gas or power</w:t>
            </w:r>
          </w:p>
          <w:p>
            <w:pPr>
              <w:pStyle w:val="Normal"/>
              <w:ind w:start="456" w:end="0"/>
              <w:rPr>
                <w:color w:val="000000"/>
                <w:sz w:val="18"/>
                <w:lang w:eastAsia="en-US"/>
              </w:rPr>
            </w:pPr>
            <w:r>
              <w:rPr>
                <w:rFonts w:eastAsia="Book Antiqua"/>
                <w:color w:val="000000"/>
                <w:sz w:val="18"/>
                <w:lang w:eastAsia="en-US"/>
              </w:rPr>
              <w:t xml:space="preserve">     </w:t>
            </w:r>
            <w:r>
              <w:rPr>
                <w:color w:val="000000"/>
                <w:sz w:val="18"/>
                <w:lang w:eastAsia="en-US"/>
              </w:rPr>
              <w:t xml:space="preserve">trading  </w:t>
            </w:r>
          </w:p>
          <w:p>
            <w:pPr>
              <w:pStyle w:val="Normal"/>
              <w:numPr>
                <w:ilvl w:val="0"/>
                <w:numId w:val="25"/>
              </w:numPr>
              <w:ind w:hanging="180" w:start="720" w:end="0"/>
              <w:rPr/>
            </w:pPr>
            <w:r>
              <w:rPr>
                <w:color w:val="000000"/>
                <w:sz w:val="18"/>
                <w:lang w:eastAsia="en-US"/>
              </w:rPr>
              <w:t>Interest rate financial instruments have a maturity/gap risk limit of USD 50,000/bp (&lt;= 2 years) that is not reported on the DPR</w:t>
            </w:r>
          </w:p>
          <w:p>
            <w:pPr>
              <w:pStyle w:val="Header"/>
              <w:tabs>
                <w:tab w:val="clear" w:pos="4320"/>
                <w:tab w:val="clear" w:pos="8640"/>
              </w:tabs>
              <w:rPr>
                <w:color w:val="000000"/>
                <w:sz w:val="18"/>
                <w:lang w:eastAsia="en-US"/>
              </w:rPr>
            </w:pPr>
            <w:r>
              <w:rPr>
                <w:color w:val="000000"/>
                <w:sz w:val="18"/>
                <w:lang w:eastAsia="en-US"/>
              </w:rPr>
              <w:t>EES maturity/gap risk was not reported on the gas or power benchmark reports</w:t>
            </w:r>
          </w:p>
        </w:tc>
        <w:tc>
          <w:tcPr>
            <w:tcW w:w="2826" w:type="dxa"/>
            <w:tcBorders>
              <w:top w:val="single" w:sz="6" w:space="0" w:color="000000"/>
              <w:start w:val="single" w:sz="6" w:space="0" w:color="000000"/>
              <w:bottom w:val="single" w:sz="6" w:space="0" w:color="000000"/>
              <w:end w:val="single" w:sz="6" w:space="0" w:color="000000"/>
            </w:tcBorders>
          </w:tcPr>
          <w:p>
            <w:pPr>
              <w:pStyle w:val="Normal"/>
              <w:numPr>
                <w:ilvl w:val="0"/>
                <w:numId w:val="23"/>
              </w:numPr>
              <w:rPr>
                <w:sz w:val="18"/>
              </w:rPr>
            </w:pPr>
            <w:r>
              <w:rPr>
                <w:sz w:val="18"/>
              </w:rPr>
              <w:t>The Risk Controls Group should report maturity / gap risk for all commodities and notify management of limit violations as set forth in the Enron Corp. Risk Management Policy.</w:t>
            </w:r>
          </w:p>
          <w:p>
            <w:pPr>
              <w:pStyle w:val="Normal"/>
              <w:rPr>
                <w:sz w:val="18"/>
              </w:rPr>
            </w:pPr>
            <w:r>
              <w:rPr>
                <w:sz w:val="18"/>
              </w:rPr>
            </w:r>
          </w:p>
          <w:p>
            <w:pPr>
              <w:pStyle w:val="Normal"/>
              <w:rPr>
                <w:sz w:val="18"/>
              </w:rPr>
            </w:pPr>
            <w:r>
              <w:rPr>
                <w:sz w:val="18"/>
              </w:rPr>
            </w:r>
          </w:p>
          <w:p>
            <w:pPr>
              <w:pStyle w:val="Normal"/>
              <w:rPr>
                <w:sz w:val="18"/>
              </w:rPr>
            </w:pPr>
            <w:r>
              <w:rPr>
                <w:sz w:val="18"/>
              </w:rPr>
            </w:r>
          </w:p>
        </w:tc>
      </w:tr>
      <w:tr>
        <w:trPr>
          <w:trHeight w:val="408"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napToGrid w:val="false"/>
              <w:spacing w:lineRule="auto" w:line="240"/>
              <w:rPr>
                <w:rFonts w:ascii="Book Antiqua" w:hAnsi="Book Antiqua" w:cs="Book Antiqua"/>
                <w:sz w:val="18"/>
                <w:u w:val="single"/>
              </w:rPr>
            </w:pPr>
            <w:r>
              <w:rPr>
                <w:rFonts w:cs="Book Antiqua" w:ascii="Book Antiqua" w:hAnsi="Book Antiqua"/>
                <w:sz w:val="18"/>
                <w:u w:val="single"/>
              </w:rPr>
            </w:r>
          </w:p>
        </w:tc>
        <w:tc>
          <w:tcPr>
            <w:tcW w:w="203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Financial Markets</w:t>
            </w:r>
          </w:p>
        </w:tc>
        <w:tc>
          <w:tcPr>
            <w:tcW w:w="183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Portfolio Monitoring, Analysis &amp; Management</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s>
              <w:spacing w:lineRule="auto" w:line="240"/>
              <w:rPr>
                <w:rFonts w:ascii="Book Antiqua" w:hAnsi="Book Antiqua" w:cs="Book Antiqua"/>
                <w:sz w:val="18"/>
              </w:rPr>
            </w:pPr>
            <w:r>
              <w:rPr>
                <w:rFonts w:cs="Book Antiqua" w:ascii="Book Antiqua" w:hAnsi="Book Antiqua"/>
                <w:sz w:val="18"/>
              </w:rPr>
              <w:t>Ensure positions are properly (completely and accurately) reported for each commodity group.</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No</w:t>
            </w:r>
          </w:p>
        </w:tc>
        <w:tc>
          <w:tcPr>
            <w:tcW w:w="2736" w:type="dxa"/>
            <w:tcBorders>
              <w:top w:val="single" w:sz="6" w:space="0" w:color="000000"/>
              <w:start w:val="single" w:sz="6" w:space="0" w:color="000000"/>
              <w:bottom w:val="single" w:sz="6" w:space="0" w:color="000000"/>
              <w:end w:val="single" w:sz="6" w:space="0" w:color="000000"/>
            </w:tcBorders>
          </w:tcPr>
          <w:p>
            <w:pPr>
              <w:pStyle w:val="Normal"/>
              <w:numPr>
                <w:ilvl w:val="0"/>
                <w:numId w:val="13"/>
              </w:numPr>
              <w:tabs>
                <w:tab w:val="clear" w:pos="720"/>
                <w:tab w:val="left" w:pos="162" w:leader="none"/>
              </w:tabs>
              <w:rPr>
                <w:sz w:val="18"/>
              </w:rPr>
            </w:pPr>
            <w:r>
              <w:rPr>
                <w:rFonts w:eastAsia="Book Antiqua"/>
                <w:sz w:val="18"/>
              </w:rPr>
              <w:t xml:space="preserve">   </w:t>
            </w:r>
            <w:r>
              <w:rPr>
                <w:sz w:val="18"/>
              </w:rPr>
              <w:t>Risk Control Group monitors and reports limit violations for positions, maturity  gap risk, V@R and P&amp;L</w:t>
            </w:r>
          </w:p>
          <w:p>
            <w:pPr>
              <w:pStyle w:val="Normal"/>
              <w:tabs>
                <w:tab w:val="clear" w:pos="720"/>
                <w:tab w:val="left" w:pos="162" w:leader="none"/>
              </w:tabs>
              <w:rPr>
                <w:sz w:val="18"/>
              </w:rPr>
            </w:pPr>
            <w:r>
              <w:rPr>
                <w:sz w:val="18"/>
              </w:rPr>
            </w:r>
          </w:p>
        </w:tc>
        <w:tc>
          <w:tcPr>
            <w:tcW w:w="4230" w:type="dxa"/>
            <w:tcBorders>
              <w:top w:val="single" w:sz="6" w:space="0" w:color="000000"/>
              <w:start w:val="single" w:sz="6" w:space="0" w:color="000000"/>
              <w:bottom w:val="single" w:sz="6" w:space="0" w:color="000000"/>
              <w:end w:val="single" w:sz="6" w:space="0" w:color="000000"/>
            </w:tcBorders>
          </w:tcPr>
          <w:p>
            <w:pPr>
              <w:pStyle w:val="Normal"/>
              <w:numPr>
                <w:ilvl w:val="0"/>
                <w:numId w:val="25"/>
              </w:numPr>
              <w:ind w:hanging="180" w:start="180" w:end="0"/>
              <w:rPr/>
            </w:pPr>
            <w:r>
              <w:rPr>
                <w:color w:val="000000"/>
                <w:sz w:val="18"/>
                <w:lang w:eastAsia="en-US"/>
              </w:rPr>
              <w:t>Procedures are not in place to ensure that book administrators for each commodity confirm their individual commodity’s positions, maturity/gap risk, and P&amp;L reported in the DPR.</w:t>
            </w:r>
          </w:p>
        </w:tc>
        <w:tc>
          <w:tcPr>
            <w:tcW w:w="2826" w:type="dxa"/>
            <w:tcBorders>
              <w:top w:val="single" w:sz="6" w:space="0" w:color="000000"/>
              <w:start w:val="single" w:sz="6" w:space="0" w:color="000000"/>
              <w:bottom w:val="single" w:sz="6" w:space="0" w:color="000000"/>
              <w:end w:val="single" w:sz="6" w:space="0" w:color="000000"/>
            </w:tcBorders>
          </w:tcPr>
          <w:p>
            <w:pPr>
              <w:pStyle w:val="Normal"/>
              <w:numPr>
                <w:ilvl w:val="0"/>
                <w:numId w:val="14"/>
              </w:numPr>
              <w:ind w:hanging="283" w:start="283" w:end="0"/>
              <w:rPr>
                <w:sz w:val="20"/>
              </w:rPr>
            </w:pPr>
            <w:r>
              <w:rPr>
                <w:sz w:val="18"/>
              </w:rPr>
              <w:t>The Risk Controls Group should establish procedures that ensure that book administrators confirm their individual commodity’s positions.</w:t>
            </w:r>
          </w:p>
        </w:tc>
      </w:tr>
      <w:tr>
        <w:trPr>
          <w:trHeight w:val="408"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napToGrid w:val="false"/>
              <w:spacing w:lineRule="auto" w:line="240"/>
              <w:rPr>
                <w:rFonts w:ascii="Book Antiqua" w:hAnsi="Book Antiqua" w:cs="Book Antiqua"/>
                <w:sz w:val="18"/>
                <w:u w:val="single"/>
              </w:rPr>
            </w:pPr>
            <w:r>
              <w:rPr>
                <w:rFonts w:cs="Book Antiqua" w:ascii="Book Antiqua" w:hAnsi="Book Antiqua"/>
                <w:sz w:val="18"/>
                <w:u w:val="single"/>
              </w:rPr>
            </w:r>
          </w:p>
        </w:tc>
        <w:tc>
          <w:tcPr>
            <w:tcW w:w="203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Systems</w:t>
            </w:r>
          </w:p>
        </w:tc>
        <w:tc>
          <w:tcPr>
            <w:tcW w:w="183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Access and Security</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20"/>
              </w:numPr>
              <w:tabs>
                <w:tab w:val="clear" w:pos="1134"/>
              </w:tabs>
              <w:spacing w:lineRule="auto" w:line="240"/>
              <w:rPr>
                <w:rFonts w:ascii="Book Antiqua" w:hAnsi="Book Antiqua" w:cs="Book Antiqua"/>
                <w:sz w:val="18"/>
              </w:rPr>
            </w:pPr>
            <w:r>
              <w:rPr>
                <w:rFonts w:cs="Book Antiqua" w:ascii="Book Antiqua" w:hAnsi="Book Antiqua"/>
                <w:sz w:val="18"/>
              </w:rPr>
              <w:t>Logical security provides adequate protection over key applications and/or data.</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No</w:t>
            </w:r>
          </w:p>
        </w:tc>
        <w:tc>
          <w:tcPr>
            <w:tcW w:w="2736" w:type="dxa"/>
            <w:tcBorders>
              <w:top w:val="single" w:sz="6" w:space="0" w:color="000000"/>
              <w:start w:val="single" w:sz="6" w:space="0" w:color="000000"/>
              <w:bottom w:val="single" w:sz="6" w:space="0" w:color="000000"/>
              <w:end w:val="single" w:sz="6" w:space="0" w:color="000000"/>
            </w:tcBorders>
          </w:tcPr>
          <w:p>
            <w:pPr>
              <w:pStyle w:val="Normal"/>
              <w:numPr>
                <w:ilvl w:val="0"/>
                <w:numId w:val="24"/>
              </w:numPr>
              <w:tabs>
                <w:tab w:val="clear" w:pos="720"/>
                <w:tab w:val="left" w:pos="162" w:leader="none"/>
              </w:tabs>
              <w:rPr>
                <w:sz w:val="18"/>
              </w:rPr>
            </w:pPr>
            <w:r>
              <w:rPr>
                <w:sz w:val="18"/>
              </w:rPr>
              <w:t>All files in the directories that RCG pulls DPR information from are password protected and these directories have limited access per the users business need.  RCG can also determine the last person to update these files.</w:t>
            </w:r>
          </w:p>
          <w:p>
            <w:pPr>
              <w:pStyle w:val="Normal"/>
              <w:tabs>
                <w:tab w:val="clear" w:pos="720"/>
                <w:tab w:val="left" w:pos="162" w:leader="none"/>
              </w:tabs>
              <w:rPr>
                <w:sz w:val="18"/>
              </w:rPr>
            </w:pPr>
            <w:r>
              <w:rPr>
                <w:sz w:val="18"/>
              </w:rPr>
            </w:r>
          </w:p>
          <w:p>
            <w:pPr>
              <w:pStyle w:val="Normal"/>
              <w:numPr>
                <w:ilvl w:val="0"/>
                <w:numId w:val="24"/>
              </w:numPr>
              <w:tabs>
                <w:tab w:val="clear" w:pos="720"/>
                <w:tab w:val="left" w:pos="162" w:leader="none"/>
              </w:tabs>
              <w:rPr>
                <w:sz w:val="18"/>
              </w:rPr>
            </w:pPr>
            <w:r>
              <w:rPr>
                <w:sz w:val="18"/>
                <w:lang w:eastAsia="en-US"/>
              </w:rPr>
              <w:t>Login IDs and passwords are required to login into the web server to retrieve DPR information.  The user is only given the option to select the reports he/she has been given the access to view.</w:t>
            </w:r>
          </w:p>
        </w:tc>
        <w:tc>
          <w:tcPr>
            <w:tcW w:w="4230" w:type="dxa"/>
            <w:tcBorders>
              <w:top w:val="single" w:sz="6" w:space="0" w:color="000000"/>
              <w:start w:val="single" w:sz="6" w:space="0" w:color="000000"/>
              <w:bottom w:val="single" w:sz="6" w:space="0" w:color="000000"/>
              <w:end w:val="single" w:sz="6" w:space="0" w:color="000000"/>
            </w:tcBorders>
          </w:tcPr>
          <w:p>
            <w:pPr>
              <w:pStyle w:val="Normal"/>
              <w:numPr>
                <w:ilvl w:val="0"/>
                <w:numId w:val="19"/>
              </w:numPr>
              <w:tabs>
                <w:tab w:val="clear" w:pos="720"/>
                <w:tab w:val="left" w:pos="198" w:leader="none"/>
              </w:tabs>
              <w:ind w:hanging="153" w:start="198" w:end="0"/>
              <w:rPr>
                <w:sz w:val="18"/>
                <w:lang w:eastAsia="en-US"/>
              </w:rPr>
            </w:pPr>
            <w:r>
              <w:rPr>
                <w:sz w:val="18"/>
                <w:lang w:eastAsia="en-US"/>
              </w:rPr>
              <w:t>All executive reports are stored in a network directory accessible to those users who publish their portion of the reports.  Users who have publish (‘write’) privileges to this directory may also read all other files placed in this directory.  Consequently, users who should not have access to the DPR, and other sensitive reports, may gain access to these reports through the inappropriate directory permissions.</w:t>
            </w:r>
          </w:p>
          <w:p>
            <w:pPr>
              <w:pStyle w:val="Normal"/>
              <w:rPr>
                <w:color w:val="000000"/>
                <w:sz w:val="18"/>
                <w:lang w:eastAsia="en-US"/>
              </w:rPr>
            </w:pPr>
            <w:r>
              <w:rPr>
                <w:color w:val="000000"/>
                <w:sz w:val="18"/>
                <w:lang w:eastAsia="en-US"/>
              </w:rPr>
            </w:r>
          </w:p>
        </w:tc>
        <w:tc>
          <w:tcPr>
            <w:tcW w:w="2826" w:type="dxa"/>
            <w:tcBorders>
              <w:top w:val="single" w:sz="6" w:space="0" w:color="000000"/>
              <w:start w:val="single" w:sz="6" w:space="0" w:color="000000"/>
              <w:bottom w:val="single" w:sz="6" w:space="0" w:color="000000"/>
              <w:end w:val="single" w:sz="6" w:space="0" w:color="000000"/>
            </w:tcBorders>
          </w:tcPr>
          <w:p>
            <w:pPr>
              <w:pStyle w:val="Normal"/>
              <w:numPr>
                <w:ilvl w:val="0"/>
                <w:numId w:val="14"/>
              </w:numPr>
              <w:ind w:hanging="283" w:start="283" w:end="0"/>
              <w:rPr>
                <w:sz w:val="18"/>
              </w:rPr>
            </w:pPr>
            <w:r>
              <w:rPr>
                <w:sz w:val="18"/>
              </w:rPr>
              <w:t>In order to appropriately restrict access to sensitive information, the directory structure where executive reports are placed should be divided into separate directory folders so that permissions may be granted according to business need per report.</w:t>
            </w:r>
          </w:p>
        </w:tc>
      </w:tr>
    </w:tbl>
    <w:p>
      <w:pPr>
        <w:pStyle w:val="Normal"/>
        <w:rPr/>
      </w:pPr>
      <w:r>
        <w:br w:type="page"/>
      </w:r>
      <w:r>
        <w:rPr/>
      </w:r>
    </w:p>
    <w:tbl>
      <w:tblPr>
        <w:tblW w:w="19350" w:type="dxa"/>
        <w:jc w:val="start"/>
        <w:tblInd w:w="-432" w:type="dxa"/>
        <w:tblLayout w:type="fixed"/>
        <w:tblCellMar>
          <w:top w:w="0" w:type="dxa"/>
          <w:start w:w="108" w:type="dxa"/>
          <w:bottom w:w="0" w:type="dxa"/>
          <w:end w:w="108" w:type="dxa"/>
        </w:tblCellMar>
      </w:tblPr>
      <w:tblGrid>
        <w:gridCol w:w="1440"/>
        <w:gridCol w:w="2034"/>
        <w:gridCol w:w="1836"/>
        <w:gridCol w:w="2898"/>
        <w:gridCol w:w="1350"/>
        <w:gridCol w:w="2736"/>
        <w:gridCol w:w="4230"/>
        <w:gridCol w:w="2826"/>
      </w:tblGrid>
      <w:tr>
        <w:trPr>
          <w:tblHeader w:val="true"/>
        </w:trPr>
        <w:tc>
          <w:tcPr>
            <w:tcW w:w="1440"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Project Name</w:t>
            </w:r>
          </w:p>
        </w:tc>
        <w:tc>
          <w:tcPr>
            <w:tcW w:w="2034"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Risk Area</w:t>
            </w:r>
          </w:p>
        </w:tc>
        <w:tc>
          <w:tcPr>
            <w:tcW w:w="1836" w:type="dxa"/>
            <w:tcBorders>
              <w:top w:val="single" w:sz="6" w:space="0" w:color="000000"/>
              <w:start w:val="single" w:sz="6" w:space="0" w:color="000000"/>
              <w:bottom w:val="single" w:sz="6" w:space="0" w:color="000000"/>
              <w:end w:val="single" w:sz="6" w:space="0" w:color="000000"/>
            </w:tcBorders>
            <w:shd w:fill="FFFF00" w:val="clear"/>
          </w:tcPr>
          <w:p>
            <w:pPr>
              <w:pStyle w:val="Normal"/>
              <w:jc w:val="center"/>
              <w:rPr>
                <w:b/>
                <w:sz w:val="24"/>
              </w:rPr>
            </w:pPr>
            <w:r>
              <w:rPr>
                <w:b/>
                <w:sz w:val="24"/>
              </w:rPr>
              <w:t>Target Activity</w:t>
            </w:r>
          </w:p>
        </w:tc>
        <w:tc>
          <w:tcPr>
            <w:tcW w:w="2898"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4"/>
              </w:rPr>
            </w:pPr>
            <w:r>
              <w:rPr>
                <w:b/>
                <w:sz w:val="24"/>
              </w:rPr>
              <w:t>Specific Risk Objectives</w:t>
            </w:r>
          </w:p>
        </w:tc>
        <w:tc>
          <w:tcPr>
            <w:tcW w:w="1350" w:type="dxa"/>
            <w:tcBorders>
              <w:top w:val="single" w:sz="6" w:space="0" w:color="000000"/>
              <w:start w:val="single" w:sz="6" w:space="0" w:color="000000"/>
              <w:bottom w:val="single" w:sz="6" w:space="0" w:color="000000"/>
              <w:end w:val="single" w:sz="6" w:space="0" w:color="000000"/>
            </w:tcBorders>
            <w:shd w:fill="FF0000" w:val="clear"/>
          </w:tcPr>
          <w:p>
            <w:pPr>
              <w:pStyle w:val="Normal"/>
              <w:jc w:val="center"/>
              <w:rPr>
                <w:b/>
                <w:sz w:val="20"/>
              </w:rPr>
            </w:pPr>
            <w:r>
              <w:rPr>
                <w:b/>
                <w:sz w:val="20"/>
                <w:shd w:fill="FF0000" w:val="clear"/>
              </w:rPr>
              <w:t>Objective Met?</w:t>
            </w:r>
          </w:p>
        </w:tc>
        <w:tc>
          <w:tcPr>
            <w:tcW w:w="2736" w:type="dxa"/>
            <w:tcBorders>
              <w:top w:val="single" w:sz="6" w:space="0" w:color="000000"/>
              <w:start w:val="single" w:sz="6" w:space="0" w:color="000000"/>
              <w:bottom w:val="single" w:sz="6" w:space="0" w:color="000000"/>
              <w:end w:val="single" w:sz="6" w:space="0" w:color="000000"/>
            </w:tcBorders>
            <w:shd w:fill="800000" w:val="clear"/>
          </w:tcPr>
          <w:p>
            <w:pPr>
              <w:pStyle w:val="Normal"/>
              <w:jc w:val="center"/>
              <w:rPr>
                <w:b/>
                <w:sz w:val="24"/>
              </w:rPr>
            </w:pPr>
            <w:r>
              <w:rPr>
                <w:b/>
                <w:sz w:val="24"/>
              </w:rPr>
              <w:t>Existing Control(s)</w:t>
            </w:r>
          </w:p>
        </w:tc>
        <w:tc>
          <w:tcPr>
            <w:tcW w:w="4230" w:type="dxa"/>
            <w:tcBorders>
              <w:top w:val="single" w:sz="6" w:space="0" w:color="000000"/>
              <w:start w:val="single" w:sz="6" w:space="0" w:color="000000"/>
              <w:bottom w:val="single" w:sz="6" w:space="0" w:color="000000"/>
              <w:end w:val="single" w:sz="6" w:space="0" w:color="000000"/>
            </w:tcBorders>
            <w:shd w:fill="0000FF" w:val="clear"/>
          </w:tcPr>
          <w:p>
            <w:pPr>
              <w:pStyle w:val="Normal"/>
              <w:jc w:val="center"/>
              <w:rPr>
                <w:b/>
                <w:sz w:val="24"/>
              </w:rPr>
            </w:pPr>
            <w:r>
              <w:rPr>
                <w:b/>
                <w:sz w:val="24"/>
              </w:rPr>
              <w:t>Findings</w:t>
            </w:r>
          </w:p>
        </w:tc>
        <w:tc>
          <w:tcPr>
            <w:tcW w:w="2826" w:type="dxa"/>
            <w:tcBorders>
              <w:top w:val="single" w:sz="6" w:space="0" w:color="000000"/>
              <w:start w:val="single" w:sz="6" w:space="0" w:color="000000"/>
              <w:bottom w:val="single" w:sz="6" w:space="0" w:color="000000"/>
              <w:end w:val="single" w:sz="6" w:space="0" w:color="000000"/>
            </w:tcBorders>
            <w:shd w:fill="00FFFF" w:val="clear"/>
          </w:tcPr>
          <w:p>
            <w:pPr>
              <w:pStyle w:val="Normal"/>
              <w:jc w:val="center"/>
              <w:rPr>
                <w:b/>
                <w:sz w:val="24"/>
              </w:rPr>
            </w:pPr>
            <w:r>
              <w:rPr>
                <w:b/>
                <w:sz w:val="24"/>
              </w:rPr>
              <w:t>Recommendation,</w:t>
            </w:r>
          </w:p>
          <w:p>
            <w:pPr>
              <w:pStyle w:val="Normal"/>
              <w:ind w:end="-18"/>
              <w:jc w:val="center"/>
              <w:rPr>
                <w:b/>
                <w:sz w:val="24"/>
              </w:rPr>
            </w:pPr>
            <w:r>
              <w:rPr>
                <w:b/>
                <w:sz w:val="24"/>
              </w:rPr>
              <w:t>Person &amp; Target Date</w:t>
            </w:r>
          </w:p>
        </w:tc>
      </w:tr>
      <w:tr>
        <w:trPr>
          <w:trHeight w:val="408" w:hRule="atLeast"/>
        </w:trPr>
        <w:tc>
          <w:tcPr>
            <w:tcW w:w="1440" w:type="dxa"/>
            <w:tcBorders>
              <w:top w:val="single" w:sz="6" w:space="0" w:color="000000"/>
              <w:start w:val="single" w:sz="6" w:space="0" w:color="000000"/>
              <w:bottom w:val="single" w:sz="6" w:space="0" w:color="000000"/>
              <w:end w:val="single" w:sz="6" w:space="0" w:color="000000"/>
            </w:tcBorders>
          </w:tcPr>
          <w:p>
            <w:pPr>
              <w:pStyle w:val="EnvelopeReturn"/>
              <w:tabs>
                <w:tab w:val="clear" w:pos="1134"/>
              </w:tabs>
              <w:snapToGrid w:val="false"/>
              <w:spacing w:lineRule="auto" w:line="240"/>
              <w:rPr>
                <w:rFonts w:ascii="Book Antiqua" w:hAnsi="Book Antiqua" w:cs="Book Antiqua"/>
                <w:b/>
                <w:sz w:val="24"/>
                <w:u w:val="single"/>
              </w:rPr>
            </w:pPr>
            <w:r>
              <w:rPr>
                <w:rFonts w:cs="Book Antiqua" w:ascii="Book Antiqua" w:hAnsi="Book Antiqua"/>
                <w:b/>
                <w:sz w:val="24"/>
                <w:u w:val="single"/>
              </w:rPr>
            </w:r>
          </w:p>
        </w:tc>
        <w:tc>
          <w:tcPr>
            <w:tcW w:w="203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snapToGrid w:val="false"/>
              <w:rPr>
                <w:rFonts w:ascii="Book Antiqua" w:hAnsi="Book Antiqua" w:cs="Book Antiqua"/>
                <w:sz w:val="18"/>
                <w:u w:val="single"/>
              </w:rPr>
            </w:pPr>
            <w:r>
              <w:rPr>
                <w:rFonts w:cs="Book Antiqua"/>
                <w:sz w:val="18"/>
                <w:u w:val="single"/>
              </w:rPr>
            </w:r>
          </w:p>
        </w:tc>
        <w:tc>
          <w:tcPr>
            <w:tcW w:w="183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 w:val="left" w:pos="2700" w:leader="none"/>
              </w:tabs>
              <w:rPr>
                <w:sz w:val="18"/>
              </w:rPr>
            </w:pPr>
            <w:r>
              <w:rPr>
                <w:sz w:val="18"/>
              </w:rPr>
              <w:t>Critical Application</w:t>
            </w:r>
          </w:p>
        </w:tc>
        <w:tc>
          <w:tcPr>
            <w:tcW w:w="2898" w:type="dxa"/>
            <w:tcBorders>
              <w:top w:val="single" w:sz="6" w:space="0" w:color="000000"/>
              <w:start w:val="single" w:sz="6" w:space="0" w:color="000000"/>
              <w:bottom w:val="single" w:sz="6" w:space="0" w:color="000000"/>
              <w:end w:val="single" w:sz="6" w:space="0" w:color="000000"/>
            </w:tcBorders>
          </w:tcPr>
          <w:p>
            <w:pPr>
              <w:pStyle w:val="EnvelopeReturn"/>
              <w:numPr>
                <w:ilvl w:val="0"/>
                <w:numId w:val="11"/>
              </w:numPr>
              <w:tabs>
                <w:tab w:val="clear" w:pos="1134"/>
                <w:tab w:val="left" w:pos="162" w:leader="none"/>
              </w:tabs>
              <w:spacing w:lineRule="auto" w:line="240"/>
              <w:ind w:hanging="162" w:start="162" w:end="0"/>
              <w:rPr>
                <w:rFonts w:ascii="Book Antiqua" w:hAnsi="Book Antiqua" w:cs="Book Antiqua"/>
                <w:sz w:val="18"/>
              </w:rPr>
            </w:pPr>
            <w:r>
              <w:rPr>
                <w:rFonts w:cs="Book Antiqua" w:ascii="Book Antiqua" w:hAnsi="Book Antiqua"/>
                <w:sz w:val="18"/>
              </w:rPr>
              <w:t>Data is captured, stored, and transferred completely and accurately.</w:t>
            </w:r>
          </w:p>
        </w:tc>
        <w:tc>
          <w:tcPr>
            <w:tcW w:w="135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2520" w:leader="none"/>
              </w:tabs>
              <w:jc w:val="center"/>
              <w:rPr>
                <w:sz w:val="20"/>
              </w:rPr>
            </w:pPr>
            <w:r>
              <w:rPr>
                <w:sz w:val="20"/>
              </w:rPr>
              <w:t>No</w:t>
            </w:r>
          </w:p>
        </w:tc>
        <w:tc>
          <w:tcPr>
            <w:tcW w:w="2736" w:type="dxa"/>
            <w:tcBorders>
              <w:top w:val="single" w:sz="6" w:space="0" w:color="000000"/>
              <w:start w:val="single" w:sz="6" w:space="0" w:color="000000"/>
              <w:bottom w:val="single" w:sz="6" w:space="0" w:color="000000"/>
              <w:end w:val="single" w:sz="6" w:space="0" w:color="000000"/>
            </w:tcBorders>
          </w:tcPr>
          <w:p>
            <w:pPr>
              <w:pStyle w:val="Normal"/>
              <w:numPr>
                <w:ilvl w:val="0"/>
                <w:numId w:val="22"/>
              </w:numPr>
              <w:tabs>
                <w:tab w:val="clear" w:pos="720"/>
                <w:tab w:val="left" w:pos="162" w:leader="none"/>
              </w:tabs>
              <w:rPr>
                <w:sz w:val="18"/>
              </w:rPr>
            </w:pPr>
            <w:r>
              <w:rPr>
                <w:sz w:val="18"/>
              </w:rPr>
              <w:t>Directory files are password protected.</w:t>
            </w:r>
          </w:p>
          <w:p>
            <w:pPr>
              <w:pStyle w:val="Normal"/>
              <w:tabs>
                <w:tab w:val="clear" w:pos="720"/>
                <w:tab w:val="left" w:pos="162" w:leader="none"/>
              </w:tabs>
              <w:rPr>
                <w:sz w:val="18"/>
              </w:rPr>
            </w:pPr>
            <w:r>
              <w:rPr>
                <w:sz w:val="18"/>
              </w:rPr>
            </w:r>
          </w:p>
          <w:p>
            <w:pPr>
              <w:pStyle w:val="Normal"/>
              <w:numPr>
                <w:ilvl w:val="0"/>
                <w:numId w:val="22"/>
              </w:numPr>
              <w:tabs>
                <w:tab w:val="clear" w:pos="720"/>
                <w:tab w:val="left" w:pos="162" w:leader="none"/>
              </w:tabs>
              <w:rPr>
                <w:sz w:val="18"/>
              </w:rPr>
            </w:pPr>
            <w:r>
              <w:rPr>
                <w:sz w:val="18"/>
              </w:rPr>
              <w:t>Risk Controls Group personnel can determine the last person to alter the file.</w:t>
            </w:r>
          </w:p>
          <w:p>
            <w:pPr>
              <w:pStyle w:val="Normal"/>
              <w:tabs>
                <w:tab w:val="clear" w:pos="720"/>
                <w:tab w:val="left" w:pos="162" w:leader="none"/>
              </w:tabs>
              <w:rPr>
                <w:sz w:val="18"/>
              </w:rPr>
            </w:pPr>
            <w:r>
              <w:rPr>
                <w:sz w:val="18"/>
              </w:rPr>
            </w:r>
          </w:p>
          <w:p>
            <w:pPr>
              <w:pStyle w:val="Normal"/>
              <w:numPr>
                <w:ilvl w:val="0"/>
                <w:numId w:val="22"/>
              </w:numPr>
              <w:tabs>
                <w:tab w:val="clear" w:pos="720"/>
                <w:tab w:val="left" w:pos="162" w:leader="none"/>
              </w:tabs>
              <w:rPr>
                <w:sz w:val="18"/>
              </w:rPr>
            </w:pPr>
            <w:r>
              <w:rPr>
                <w:sz w:val="18"/>
              </w:rPr>
              <w:t>Risk Controls Group personnel  regularly view who is online and can  identify inappropriate access.</w:t>
            </w:r>
          </w:p>
        </w:tc>
        <w:tc>
          <w:tcPr>
            <w:tcW w:w="4230" w:type="dxa"/>
            <w:tcBorders>
              <w:top w:val="single" w:sz="6" w:space="0" w:color="000000"/>
              <w:start w:val="single" w:sz="6" w:space="0" w:color="000000"/>
              <w:bottom w:val="single" w:sz="6" w:space="0" w:color="000000"/>
              <w:end w:val="single" w:sz="6" w:space="0" w:color="000000"/>
            </w:tcBorders>
          </w:tcPr>
          <w:p>
            <w:pPr>
              <w:pStyle w:val="Normal"/>
              <w:numPr>
                <w:ilvl w:val="0"/>
                <w:numId w:val="25"/>
              </w:numPr>
              <w:ind w:hanging="180" w:start="180" w:end="0"/>
              <w:rPr>
                <w:color w:val="000000"/>
                <w:sz w:val="18"/>
                <w:lang w:eastAsia="en-US"/>
              </w:rPr>
            </w:pPr>
            <w:r>
              <w:rPr>
                <w:sz w:val="18"/>
                <w:lang w:eastAsia="en-US"/>
              </w:rPr>
              <w:t>Book Administrators may fail to finalize/send their deal information to the Risk Controls Group resulting in an incomplete total position on the DPR.  The omission of any significant positions, such as aggregate gas, would be noticed and corrected.  It is possible, however, smaller positions could remain undetected.</w:t>
            </w:r>
          </w:p>
          <w:p>
            <w:pPr>
              <w:pStyle w:val="Normal"/>
              <w:rPr>
                <w:color w:val="000000"/>
                <w:sz w:val="18"/>
                <w:lang w:eastAsia="en-US"/>
              </w:rPr>
            </w:pPr>
            <w:r>
              <w:rPr>
                <w:color w:val="000000"/>
                <w:sz w:val="18"/>
                <w:lang w:eastAsia="en-US"/>
              </w:rPr>
            </w:r>
          </w:p>
          <w:p>
            <w:pPr>
              <w:pStyle w:val="Normal"/>
              <w:numPr>
                <w:ilvl w:val="0"/>
                <w:numId w:val="25"/>
              </w:numPr>
              <w:ind w:hanging="180" w:start="180" w:end="0"/>
              <w:rPr>
                <w:color w:val="000000"/>
                <w:sz w:val="18"/>
                <w:lang w:eastAsia="en-US"/>
              </w:rPr>
            </w:pPr>
            <w:r>
              <w:rPr>
                <w:sz w:val="18"/>
              </w:rPr>
              <w:t>There is not a formal process in place for including positions resulting from trading operations in new commodities or new locations on the DPR.</w:t>
            </w:r>
          </w:p>
        </w:tc>
        <w:tc>
          <w:tcPr>
            <w:tcW w:w="2826" w:type="dxa"/>
            <w:tcBorders>
              <w:top w:val="single" w:sz="6" w:space="0" w:color="000000"/>
              <w:start w:val="single" w:sz="6" w:space="0" w:color="000000"/>
              <w:bottom w:val="single" w:sz="6" w:space="0" w:color="000000"/>
              <w:end w:val="single" w:sz="6" w:space="0" w:color="000000"/>
            </w:tcBorders>
          </w:tcPr>
          <w:p>
            <w:pPr>
              <w:pStyle w:val="Normal"/>
              <w:numPr>
                <w:ilvl w:val="0"/>
                <w:numId w:val="14"/>
              </w:numPr>
              <w:ind w:hanging="283" w:start="283" w:end="0"/>
              <w:rPr>
                <w:sz w:val="18"/>
              </w:rPr>
            </w:pPr>
            <w:r>
              <w:rPr>
                <w:sz w:val="18"/>
              </w:rPr>
              <w:t>A process should be put in place to identify all unfinalized positions that may have been inadvertently excluded from the DPR that may have an effect.</w:t>
            </w:r>
          </w:p>
          <w:p>
            <w:pPr>
              <w:pStyle w:val="Normal"/>
              <w:rPr>
                <w:sz w:val="18"/>
              </w:rPr>
            </w:pPr>
            <w:r>
              <w:rPr>
                <w:sz w:val="18"/>
              </w:rPr>
            </w:r>
          </w:p>
          <w:p>
            <w:pPr>
              <w:pStyle w:val="Normal"/>
              <w:rPr>
                <w:sz w:val="18"/>
              </w:rPr>
            </w:pPr>
            <w:r>
              <w:rPr>
                <w:sz w:val="18"/>
              </w:rPr>
            </w:r>
          </w:p>
          <w:p>
            <w:pPr>
              <w:pStyle w:val="Normal"/>
              <w:numPr>
                <w:ilvl w:val="0"/>
                <w:numId w:val="14"/>
              </w:numPr>
              <w:ind w:hanging="283" w:start="283" w:end="0"/>
              <w:rPr>
                <w:sz w:val="18"/>
              </w:rPr>
            </w:pPr>
            <w:r>
              <w:rPr>
                <w:sz w:val="18"/>
              </w:rPr>
              <w:t>A process should be put in place to help Risk Controls identify new commodity positions in order for the DPR to accurately reflect all current positions.</w:t>
            </w:r>
          </w:p>
        </w:tc>
      </w:tr>
    </w:tbl>
    <w:p>
      <w:pPr>
        <w:pStyle w:val="Normal"/>
        <w:rPr/>
      </w:pPr>
      <w:r>
        <w:rPr/>
      </w:r>
    </w:p>
    <w:sectPr>
      <w:headerReference w:type="default" r:id="rId2"/>
      <w:footerReference w:type="default" r:id="rId3"/>
      <w:type w:val="nextPage"/>
      <w:pgSz w:orient="landscape" w:w="20160" w:h="12240"/>
      <w:pgMar w:left="864" w:right="0" w:gutter="0" w:header="720" w:top="1800" w:footer="720" w:bottom="18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959.2pt;mso-position-horizontal:right;mso-position-horizontal-relative:margin">
              <v:fill opacity="0f"/>
              <v:textbox inset="0in,0in,0in,0in">
                <w:txbxContent>
                  <w:p>
                    <w:pPr>
                      <w:pStyle w:val="Footer"/>
                      <w:rPr/>
                    </w:pPr>
                    <w:r>
                      <w:rPr/>
                      <w:fldChar w:fldCharType="begin"/>
                    </w:r>
                    <w:r>
                      <w:rPr/>
                      <w:instrText xml:space="preserve"> PAGE </w:instrText>
                    </w:r>
                    <w:r>
                      <w:rPr/>
                      <w:fldChar w:fldCharType="separate"/>
                    </w:r>
                    <w:r>
                      <w:rPr/>
                      <w:t>4</w:t>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4"/>
      </w:rPr>
    </w:pPr>
    <w:r>
      <w:rPr>
        <w:b/>
        <w:sz w:val="24"/>
      </w:rPr>
      <w:t xml:space="preserve">ENA-North America/Risk Controls </w:t>
    </w:r>
  </w:p>
  <w:p>
    <w:pPr>
      <w:pStyle w:val="Normal"/>
      <w:jc w:val="center"/>
      <w:rPr>
        <w:b/>
        <w:sz w:val="24"/>
      </w:rPr>
    </w:pPr>
    <w:r>
      <w:rPr>
        <w:b/>
        <w:sz w:val="24"/>
      </w:rPr>
      <w:t>Business Risk Management (BRM) Project Reporting Format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283"/>
        </w:tabs>
        <w:ind w:start="283" w:hanging="283"/>
      </w:pPr>
      <w:rPr>
        <w:rFonts w:ascii="Symbol" w:hAnsi="Symbol" w:cs="Symbol" w:hint="default"/>
      </w:rPr>
    </w:lvl>
  </w:abstractNum>
  <w:abstractNum w:abstractNumId="12">
    <w:lvl w:ilvl="0">
      <w:start w:val="1"/>
      <w:numFmt w:val="bullet"/>
      <w:lvlText w:val=""/>
      <w:lvlJc w:val="start"/>
      <w:pPr>
        <w:tabs>
          <w:tab w:val="num" w:pos="283"/>
        </w:tabs>
        <w:ind w:start="283" w:hanging="283"/>
      </w:pPr>
      <w:rPr>
        <w:rFonts w:ascii="Symbol" w:hAnsi="Symbol" w:cs="Symbol" w:hint="default"/>
      </w:rPr>
    </w:lvl>
  </w:abstractNum>
  <w:abstractNum w:abstractNumId="13">
    <w:lvl w:ilvl="0">
      <w:start w:val="1"/>
      <w:numFmt w:val="bullet"/>
      <w:lvlText w:val=""/>
      <w:lvlJc w:val="start"/>
      <w:pPr>
        <w:tabs>
          <w:tab w:val="num" w:pos="283"/>
        </w:tabs>
        <w:ind w:start="283" w:hanging="283"/>
      </w:pPr>
      <w:rPr>
        <w:rFonts w:ascii="Symbol" w:hAnsi="Symbol" w:cs="Symbol" w:hint="default"/>
      </w:rPr>
    </w:lvl>
  </w:abstractNum>
  <w:abstractNum w:abstractNumId="14">
    <w:lvl w:ilvl="0">
      <w:numFmt w:val="bullet"/>
      <w:lvlText w:val="•"/>
      <w:lvlJc w:val="start"/>
      <w:pPr>
        <w:tabs>
          <w:tab w:val="num" w:pos="0"/>
        </w:tabs>
        <w:ind w:start="0" w:hanging="0"/>
      </w:pPr>
      <w:rPr>
        <w:rFonts w:ascii="Book Antiqua" w:hAnsi="Book Antiqua" w:cs="Book Antiqua" w:hint="default"/>
        <w:sz w:val="18"/>
      </w:rPr>
    </w:lvl>
  </w:abstractNum>
  <w:abstractNum w:abstractNumId="15">
    <w:lvl w:ilvl="0">
      <w:start w:val="1"/>
      <w:numFmt w:val="decimal"/>
      <w:lvlText w:val="%1."/>
      <w:lvlJc w:val="start"/>
      <w:pPr>
        <w:tabs>
          <w:tab w:val="num" w:pos="283"/>
        </w:tabs>
        <w:ind w:start="283" w:hanging="283"/>
      </w:pPr>
    </w:lvl>
  </w:abstractNum>
  <w:abstractNum w:abstractNumId="16">
    <w:lvl w:ilvl="0">
      <w:start w:val="1"/>
      <w:numFmt w:val="bullet"/>
      <w:lvlText w:val=""/>
      <w:lvlJc w:val="start"/>
      <w:pPr>
        <w:tabs>
          <w:tab w:val="num" w:pos="283"/>
        </w:tabs>
        <w:ind w:start="283" w:hanging="283"/>
      </w:pPr>
      <w:rPr>
        <w:rFonts w:ascii="Symbol" w:hAnsi="Symbol" w:cs="Symbol" w:hint="default"/>
      </w:rPr>
    </w:lvl>
  </w:abstractNum>
  <w:abstractNum w:abstractNumId="17">
    <w:lvl w:ilvl="0">
      <w:start w:val="1"/>
      <w:numFmt w:val="bullet"/>
      <w:lvlText w:val=""/>
      <w:lvlJc w:val="start"/>
      <w:pPr>
        <w:tabs>
          <w:tab w:val="num" w:pos="283"/>
        </w:tabs>
        <w:ind w:start="283" w:hanging="283"/>
      </w:pPr>
      <w:rPr>
        <w:rFonts w:ascii="Symbol" w:hAnsi="Symbol" w:cs="Symbol" w:hint="default"/>
      </w:rPr>
    </w:lvl>
  </w:abstractNum>
  <w:abstractNum w:abstractNumId="18">
    <w:lvl w:ilvl="0">
      <w:numFmt w:val="bullet"/>
      <w:lvlText w:val="•"/>
      <w:lvlJc w:val="start"/>
      <w:pPr>
        <w:tabs>
          <w:tab w:val="num" w:pos="0"/>
        </w:tabs>
        <w:ind w:start="0" w:hanging="0"/>
      </w:pPr>
      <w:rPr>
        <w:rFonts w:ascii="Book Antiqua" w:hAnsi="Book Antiqua" w:cs="Book Antiqua" w:hint="default"/>
        <w:sz w:val="18"/>
      </w:rPr>
    </w:lvl>
  </w:abstractNum>
  <w:abstractNum w:abstractNumId="19">
    <w:lvl w:ilvl="0">
      <w:start w:val="1"/>
      <w:numFmt w:val="bullet"/>
      <w:lvlText w:val=""/>
      <w:lvlJc w:val="start"/>
      <w:pPr>
        <w:tabs>
          <w:tab w:val="num" w:pos="283"/>
        </w:tabs>
        <w:ind w:start="283" w:hanging="283"/>
      </w:pPr>
      <w:rPr>
        <w:rFonts w:ascii="Symbol" w:hAnsi="Symbol" w:cs="Symbol" w:hint="default"/>
      </w:rPr>
    </w:lvl>
  </w:abstractNum>
  <w:abstractNum w:abstractNumId="20">
    <w:lvl w:ilvl="0">
      <w:start w:val="1"/>
      <w:numFmt w:val="bullet"/>
      <w:lvlText w:val=""/>
      <w:lvlJc w:val="start"/>
      <w:pPr>
        <w:tabs>
          <w:tab w:val="num" w:pos="283"/>
        </w:tabs>
        <w:ind w:start="283" w:hanging="283"/>
      </w:pPr>
      <w:rPr>
        <w:rFonts w:ascii="Symbol" w:hAnsi="Symbol" w:cs="Symbol" w:hint="default"/>
      </w:rPr>
    </w:lvl>
  </w:abstractNum>
  <w:abstractNum w:abstractNumId="21">
    <w:lvl w:ilvl="0">
      <w:numFmt w:val="bullet"/>
      <w:lvlText w:val="•"/>
      <w:lvlJc w:val="start"/>
      <w:pPr>
        <w:tabs>
          <w:tab w:val="num" w:pos="0"/>
        </w:tabs>
        <w:ind w:start="0" w:hanging="0"/>
      </w:pPr>
      <w:rPr>
        <w:rFonts w:ascii="Book Antiqua" w:hAnsi="Book Antiqua" w:cs="Book Antiqua" w:hint="default"/>
        <w:sz w:val="18"/>
      </w:rPr>
    </w:lvl>
  </w:abstractNum>
  <w:abstractNum w:abstractNumId="22">
    <w:lvl w:ilvl="0">
      <w:start w:val="1"/>
      <w:numFmt w:val="bullet"/>
      <w:lvlText w:val=""/>
      <w:lvlJc w:val="start"/>
      <w:pPr>
        <w:tabs>
          <w:tab w:val="num" w:pos="283"/>
        </w:tabs>
        <w:ind w:start="283" w:hanging="283"/>
      </w:pPr>
      <w:rPr>
        <w:rFonts w:ascii="Symbol" w:hAnsi="Symbol" w:cs="Symbol" w:hint="default"/>
      </w:rPr>
    </w:lvl>
  </w:abstractNum>
  <w:abstractNum w:abstractNumId="23">
    <w:lvl w:ilvl="0">
      <w:start w:val="1"/>
      <w:numFmt w:val="bullet"/>
      <w:lvlText w:val=""/>
      <w:lvlJc w:val="start"/>
      <w:pPr>
        <w:tabs>
          <w:tab w:val="num" w:pos="283"/>
        </w:tabs>
        <w:ind w:start="283" w:hanging="283"/>
      </w:pPr>
      <w:rPr>
        <w:rFonts w:ascii="Symbol" w:hAnsi="Symbol" w:cs="Symbol" w:hint="default"/>
      </w:rPr>
    </w:lvl>
  </w:abstractNum>
  <w:abstractNum w:abstractNumId="24">
    <w:lvl w:ilvl="0">
      <w:start w:val="1"/>
      <w:numFmt w:val="bullet"/>
      <w:lvlText w:val=""/>
      <w:lvlJc w:val="start"/>
      <w:pPr>
        <w:tabs>
          <w:tab w:val="num" w:pos="283"/>
        </w:tabs>
        <w:ind w:start="283" w:hanging="283"/>
      </w:pPr>
      <w:rPr>
        <w:rFonts w:ascii="Symbol" w:hAnsi="Symbol" w:cs="Symbol" w:hint="default"/>
      </w:rPr>
    </w:lvl>
  </w:abstractNum>
  <w:abstractNum w:abstractNumId="25">
    <w:lvl w:ilvl="0">
      <w:numFmt w:val="bullet"/>
      <w:lvlText w:val="•"/>
      <w:lvlJc w:val="start"/>
      <w:pPr>
        <w:tabs>
          <w:tab w:val="num" w:pos="0"/>
        </w:tabs>
        <w:ind w:start="0" w:hanging="0"/>
      </w:pPr>
      <w:rPr>
        <w:rFonts w:ascii="Book Antiqua" w:hAnsi="Book Antiqua" w:cs="Book Antiqua" w:hint="default"/>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i/>
      <w:sz w:val="20"/>
      <w:u w:val="single"/>
    </w:rPr>
  </w:style>
  <w:style w:type="paragraph" w:styleId="Heading5">
    <w:name w:val="heading 5"/>
    <w:basedOn w:val="Normal"/>
    <w:next w:val="Normal"/>
    <w:qFormat/>
    <w:pPr>
      <w:keepNext w:val="true"/>
      <w:widowControl w:val="false"/>
      <w:numPr>
        <w:ilvl w:val="4"/>
        <w:numId w:val="1"/>
      </w:numPr>
      <w:outlineLvl w:val="4"/>
    </w:pPr>
    <w:rPr>
      <w:b/>
      <w:i/>
      <w:sz w:val="28"/>
      <w:lang w:eastAsia="en-U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color w:val="000000"/>
      <w:sz w:val="18"/>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sz w:val="18"/>
    </w:rPr>
  </w:style>
  <w:style w:type="character" w:styleId="WW8Num17z0">
    <w:name w:val="WW8Num17z0"/>
    <w:qFormat/>
    <w:rPr>
      <w:rFonts w:ascii="Symbol" w:hAnsi="Symbol" w:cs="Symbol"/>
    </w:rPr>
  </w:style>
  <w:style w:type="character" w:styleId="WW8Num18z0">
    <w:name w:val="WW8Num18z0"/>
    <w:qFormat/>
    <w:rPr>
      <w:rFonts w:ascii="Symbol" w:hAnsi="Symbol" w:cs="Symbol"/>
      <w:sz w:val="18"/>
    </w:rPr>
  </w:style>
  <w:style w:type="character" w:styleId="WW8Num19z0">
    <w:name w:val="WW8Num19z0"/>
    <w:qFormat/>
    <w:rPr>
      <w:rFonts w:ascii="Book Antiqua" w:hAnsi="Book Antiqua" w:cs="Book Antiqua"/>
      <w:sz w:val="18"/>
    </w:rPr>
  </w:style>
  <w:style w:type="character" w:styleId="WW8Num20z0">
    <w:name w:val="WW8Num20z0"/>
    <w:qFormat/>
    <w:rPr>
      <w:rFonts w:ascii="Symbol" w:hAnsi="Symbol" w:cs="Symbol"/>
      <w:sz w:val="18"/>
    </w:rPr>
  </w:style>
  <w:style w:type="character" w:styleId="WW8Num21z0">
    <w:name w:val="WW8Num21z0"/>
    <w:qFormat/>
    <w:rPr>
      <w:rFonts w:ascii="Book Antiqua" w:hAnsi="Book Antiqua" w:cs="Book Antiqua"/>
      <w:sz w:val="18"/>
    </w:rPr>
  </w:style>
  <w:style w:type="character" w:styleId="WW8Num22z0">
    <w:name w:val="WW8Num22z0"/>
    <w:qFormat/>
    <w:rPr>
      <w:rFonts w:ascii="Book Antiqua" w:hAnsi="Book Antiqua" w:cs="Book Antiqua"/>
      <w:sz w:val="18"/>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Book Antiqua" w:hAnsi="Book Antiqua" w:cs="Book Antiqua"/>
      <w:sz w:val="18"/>
    </w:rPr>
  </w:style>
  <w:style w:type="character" w:styleId="WW8Num33z0">
    <w:name w:val="WW8Num33z0"/>
    <w:qFormat/>
    <w:rPr>
      <w:rFonts w:ascii="Symbol" w:hAnsi="Symbol" w:cs="Symbol"/>
    </w:rPr>
  </w:style>
  <w:style w:type="character" w:styleId="WW8Num34z0">
    <w:name w:val="WW8Num34z0"/>
    <w:qFormat/>
    <w:rPr>
      <w:rFonts w:ascii="Symbol" w:hAnsi="Symbol" w:cs="Symbol"/>
      <w:sz w:val="18"/>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color w:val="auto"/>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sz w:val="18"/>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Book Antiqua" w:hAnsi="Book Antiqua" w:cs="Book Antiqua"/>
      <w:sz w:val="18"/>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Book Antiqua" w:hAnsi="Book Antiqua" w:cs="Book Antiqua"/>
      <w:sz w:val="18"/>
    </w:rPr>
  </w:style>
  <w:style w:type="character" w:styleId="WW8Num61z0">
    <w:name w:val="WW8Num61z0"/>
    <w:qFormat/>
    <w:rPr>
      <w:rFonts w:ascii="Symbol" w:hAnsi="Symbol" w:cs="Symbol"/>
    </w:rPr>
  </w:style>
  <w:style w:type="character" w:styleId="WW8Num62z0">
    <w:name w:val="WW8Num62z0"/>
    <w:qFormat/>
    <w:rPr>
      <w:rFonts w:ascii="Symbol" w:hAnsi="Symbol" w:cs="Symbol"/>
      <w:color w:val="auto"/>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color w:val="auto"/>
    </w:rPr>
  </w:style>
  <w:style w:type="character" w:styleId="WW8Num69z0">
    <w:name w:val="WW8Num69z0"/>
    <w:qFormat/>
    <w:rPr>
      <w:rFonts w:ascii="Symbol" w:hAnsi="Symbol" w:cs="Symbol"/>
      <w:sz w:val="18"/>
    </w:rPr>
  </w:style>
  <w:style w:type="character" w:styleId="WW8Num71z0">
    <w:name w:val="WW8Num71z0"/>
    <w:qFormat/>
    <w:rPr>
      <w:rFonts w:ascii="Symbol" w:hAnsi="Symbol" w:cs="Symbol"/>
      <w:color w:val="auto"/>
    </w:rPr>
  </w:style>
  <w:style w:type="character" w:styleId="WW8Num72z0">
    <w:name w:val="WW8Num72z0"/>
    <w:qFormat/>
    <w:rPr>
      <w:rFonts w:ascii="Book Antiqua" w:hAnsi="Book Antiqua" w:cs="Book Antiqua"/>
      <w:sz w:val="18"/>
    </w:rPr>
  </w:style>
  <w:style w:type="character" w:styleId="WW8Num73z0">
    <w:name w:val="WW8Num73z0"/>
    <w:qFormat/>
    <w:rPr>
      <w:rFonts w:ascii="Symbol" w:hAnsi="Symbol" w:cs="Symbol"/>
    </w:rPr>
  </w:style>
  <w:style w:type="character" w:styleId="WW8Num74z0">
    <w:name w:val="WW8Num74z0"/>
    <w:qFormat/>
    <w:rPr>
      <w:rFonts w:ascii="Symbol" w:hAnsi="Symbol" w:cs="Symbol"/>
      <w:sz w:val="18"/>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color w:val="auto"/>
    </w:rPr>
  </w:style>
  <w:style w:type="character" w:styleId="WW8Num79z0">
    <w:name w:val="WW8Num79z0"/>
    <w:qFormat/>
    <w:rPr>
      <w:rFonts w:ascii="Symbol" w:hAnsi="Symbol" w:cs="Symbol"/>
    </w:rPr>
  </w:style>
  <w:style w:type="character" w:styleId="WW8Num80z0">
    <w:name w:val="WW8Num80z0"/>
    <w:qFormat/>
    <w:rPr>
      <w:rFonts w:ascii="Symbol" w:hAnsi="Symbol" w:cs="Symbol"/>
      <w:color w:val="auto"/>
    </w:rPr>
  </w:style>
  <w:style w:type="character" w:styleId="WW8Num81z0">
    <w:name w:val="WW8Num81z0"/>
    <w:qFormat/>
    <w:rPr>
      <w:rFonts w:ascii="Symbol" w:hAnsi="Symbol" w:cs="Symbol"/>
      <w:color w:val="auto"/>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sz w:val="18"/>
    </w:rPr>
  </w:style>
  <w:style w:type="character" w:styleId="WW8Num87z0">
    <w:name w:val="WW8Num87z0"/>
    <w:qFormat/>
    <w:rPr>
      <w:rFonts w:ascii="Symbol" w:hAnsi="Symbol" w:cs="Symbol"/>
    </w:rPr>
  </w:style>
  <w:style w:type="character" w:styleId="WW8Num89z0">
    <w:name w:val="WW8Num89z0"/>
    <w:qFormat/>
    <w:rPr>
      <w:rFonts w:ascii="Book Antiqua" w:hAnsi="Book Antiqua" w:cs="Book Antiqua"/>
      <w:sz w:val="18"/>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sz w:val="18"/>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sz w:val="18"/>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sz w:val="18"/>
    </w:rPr>
  </w:style>
  <w:style w:type="character" w:styleId="WW8Num108z0">
    <w:name w:val="WW8Num108z0"/>
    <w:qFormat/>
    <w:rPr>
      <w:rFonts w:ascii="Symbol" w:hAnsi="Symbol" w:cs="Symbol"/>
      <w:color w:val="auto"/>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Book Antiqua" w:hAnsi="Book Antiqua" w:cs="Book Antiqua"/>
      <w:sz w:val="18"/>
    </w:rPr>
  </w:style>
  <w:style w:type="character" w:styleId="WW8Num112z0">
    <w:name w:val="WW8Num112z0"/>
    <w:qFormat/>
    <w:rPr>
      <w:rFonts w:ascii="Symbol" w:hAnsi="Symbol" w:cs="Symbol"/>
    </w:rPr>
  </w:style>
  <w:style w:type="character" w:styleId="WW8Num113z0">
    <w:name w:val="WW8Num113z0"/>
    <w:qFormat/>
    <w:rPr>
      <w:rFonts w:ascii="Symbol" w:hAnsi="Symbol" w:cs="Symbol"/>
      <w:sz w:val="18"/>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sz w:val="18"/>
    </w:rPr>
  </w:style>
  <w:style w:type="character" w:styleId="WW8Num119z0">
    <w:name w:val="WW8Num119z0"/>
    <w:qFormat/>
    <w:rPr>
      <w:rFonts w:ascii="Symbol" w:hAnsi="Symbol" w:cs="Symbol"/>
    </w:rPr>
  </w:style>
  <w:style w:type="character" w:styleId="WW8Num120z0">
    <w:name w:val="WW8Num120z0"/>
    <w:qFormat/>
    <w:rPr>
      <w:rFonts w:ascii="Symbol" w:hAnsi="Symbol" w:cs="Symbol"/>
      <w:sz w:val="18"/>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sz w:val="16"/>
    </w:rPr>
  </w:style>
  <w:style w:type="character" w:styleId="WW8Num124z0">
    <w:name w:val="WW8Num124z0"/>
    <w:qFormat/>
    <w:rPr>
      <w:rFonts w:ascii="Symbol" w:hAnsi="Symbol" w:cs="Symbol"/>
      <w:color w:val="auto"/>
    </w:rPr>
  </w:style>
  <w:style w:type="character" w:styleId="WW8Num125z0">
    <w:name w:val="WW8Num125z0"/>
    <w:qFormat/>
    <w:rPr>
      <w:rFonts w:ascii="Symbol" w:hAnsi="Symbol" w:cs="Symbol"/>
    </w:rPr>
  </w:style>
  <w:style w:type="character" w:styleId="WW8Num126z0">
    <w:name w:val="WW8Num126z0"/>
    <w:qFormat/>
    <w:rPr>
      <w:rFonts w:ascii="Symbol" w:hAnsi="Symbol" w:cs="Symbol"/>
      <w:sz w:val="18"/>
    </w:rPr>
  </w:style>
  <w:style w:type="character" w:styleId="WW8Num127z0">
    <w:name w:val="WW8Num127z0"/>
    <w:qFormat/>
    <w:rPr>
      <w:rFonts w:ascii="Symbol" w:hAnsi="Symbol" w:cs="Symbol"/>
      <w:sz w:val="16"/>
    </w:rPr>
  </w:style>
  <w:style w:type="character" w:styleId="WW8Num128z0">
    <w:name w:val="WW8Num128z0"/>
    <w:qFormat/>
    <w:rPr>
      <w:rFonts w:ascii="Symbol" w:hAnsi="Symbol" w:cs="Symbol"/>
      <w:color w:val="auto"/>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sz w:val="18"/>
    </w:rPr>
  </w:style>
  <w:style w:type="character" w:styleId="WW8Num132z0">
    <w:name w:val="WW8Num132z0"/>
    <w:qFormat/>
    <w:rPr>
      <w:rFonts w:ascii="Symbol" w:hAnsi="Symbol" w:cs="Symbol"/>
      <w:color w:val="auto"/>
    </w:rPr>
  </w:style>
  <w:style w:type="character" w:styleId="WW8Num133z0">
    <w:name w:val="WW8Num133z0"/>
    <w:qFormat/>
    <w:rPr>
      <w:rFonts w:ascii="Symbol" w:hAnsi="Symbol" w:cs="Symbol"/>
    </w:rPr>
  </w:style>
  <w:style w:type="character" w:styleId="WW8Num134z0">
    <w:name w:val="WW8Num134z0"/>
    <w:qFormat/>
    <w:rPr>
      <w:rFonts w:ascii="Book Antiqua" w:hAnsi="Book Antiqua" w:cs="Book Antiqua"/>
      <w:sz w:val="18"/>
    </w:rPr>
  </w:style>
  <w:style w:type="character" w:styleId="WW8Num135z0">
    <w:name w:val="WW8Num135z0"/>
    <w:qFormat/>
    <w:rPr>
      <w:rFonts w:ascii="Book Antiqua" w:hAnsi="Book Antiqua" w:cs="Book Antiqua"/>
      <w:sz w:val="18"/>
    </w:rPr>
  </w:style>
  <w:style w:type="character" w:styleId="WW8Num136z0">
    <w:name w:val="WW8Num136z0"/>
    <w:qFormat/>
    <w:rPr>
      <w:rFonts w:ascii="Symbol" w:hAnsi="Symbol" w:cs="Symbol"/>
      <w:sz w:val="16"/>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sz w:val="18"/>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Book Antiqua" w:hAnsi="Book Antiqua" w:cs="Book Antiqua"/>
      <w:sz w:val="18"/>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Book Antiqua" w:hAnsi="Book Antiqua" w:cs="Book Antiqua"/>
      <w:sz w:val="18"/>
    </w:rPr>
  </w:style>
  <w:style w:type="character" w:styleId="WW8Num151z0">
    <w:name w:val="WW8Num151z0"/>
    <w:qFormat/>
    <w:rPr>
      <w:rFonts w:ascii="Book Antiqua" w:hAnsi="Book Antiqua" w:cs="Book Antiqua"/>
      <w:sz w:val="18"/>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3z0">
    <w:name w:val="WW8Num163z0"/>
    <w:qFormat/>
    <w:rPr>
      <w:rFonts w:ascii="Symbol" w:hAnsi="Symbol" w:cs="Symbol"/>
      <w:color w:val="auto"/>
    </w:rPr>
  </w:style>
  <w:style w:type="character" w:styleId="WW8Num164z0">
    <w:name w:val="WW8Num164z0"/>
    <w:qFormat/>
    <w:rPr>
      <w:rFonts w:ascii="Symbol" w:hAnsi="Symbol" w:cs="Symbol"/>
      <w:sz w:val="18"/>
    </w:rPr>
  </w:style>
  <w:style w:type="character" w:styleId="WW8Num165z0">
    <w:name w:val="WW8Num165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sz w:val="18"/>
    </w:rPr>
  </w:style>
  <w:style w:type="character" w:styleId="WW8Num172z0">
    <w:name w:val="WW8Num172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sz w:val="18"/>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sz w:val="18"/>
    </w:rPr>
  </w:style>
  <w:style w:type="character" w:styleId="WW8Num182z0">
    <w:name w:val="WW8Num182z0"/>
    <w:qFormat/>
    <w:rPr>
      <w:rFonts w:ascii="Symbol" w:hAnsi="Symbol" w:cs="Symbol"/>
      <w:color w:val="000000"/>
      <w:sz w:val="18"/>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Book Antiqua" w:hAnsi="Book Antiqua" w:cs="Book Antiqua"/>
      <w:sz w:val="18"/>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sz w:val="18"/>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color w:val="auto"/>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sz w:val="18"/>
    </w:rPr>
  </w:style>
  <w:style w:type="character" w:styleId="WW8Num204z0">
    <w:name w:val="WW8Num204z0"/>
    <w:qFormat/>
    <w:rPr>
      <w:rFonts w:ascii="Symbol" w:hAnsi="Symbol" w:cs="Symbol"/>
      <w:sz w:val="18"/>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sz w:val="18"/>
    </w:rPr>
  </w:style>
  <w:style w:type="character" w:styleId="WW8Num211z0">
    <w:name w:val="WW8Num211z0"/>
    <w:qFormat/>
    <w:rPr>
      <w:rFonts w:ascii="Symbol" w:hAnsi="Symbol" w:cs="Symbol"/>
      <w:sz w:val="18"/>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Book Antiqua" w:hAnsi="Book Antiqua" w:cs="Book Antiqua"/>
      <w:sz w:val="18"/>
    </w:rPr>
  </w:style>
  <w:style w:type="character" w:styleId="WW8Num215z0">
    <w:name w:val="WW8Num215z0"/>
    <w:qFormat/>
    <w:rPr>
      <w:rFonts w:ascii="Symbol" w:hAnsi="Symbol" w:cs="Symbol"/>
      <w:color w:val="auto"/>
    </w:rPr>
  </w:style>
  <w:style w:type="character" w:styleId="WW8Num216z0">
    <w:name w:val="WW8Num216z0"/>
    <w:qFormat/>
    <w:rPr>
      <w:rFonts w:ascii="Book Antiqua" w:hAnsi="Book Antiqua" w:cs="Book Antiqua"/>
      <w:sz w:val="18"/>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sz w:val="18"/>
    </w:rPr>
  </w:style>
  <w:style w:type="character" w:styleId="WW8Num220z0">
    <w:name w:val="WW8Num220z0"/>
    <w:qFormat/>
    <w:rPr>
      <w:rFonts w:ascii="Symbol" w:hAnsi="Symbol" w:cs="Symbol"/>
      <w:color w:val="auto"/>
    </w:rPr>
  </w:style>
  <w:style w:type="character" w:styleId="WW8Num221z0">
    <w:name w:val="WW8Num221z0"/>
    <w:qFormat/>
    <w:rPr>
      <w:rFonts w:ascii="Symbol" w:hAnsi="Symbol" w:cs="Symbol"/>
      <w:color w:val="auto"/>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sz w:val="18"/>
    </w:rPr>
  </w:style>
  <w:style w:type="character" w:styleId="WW8Num226z0">
    <w:name w:val="WW8Num226z0"/>
    <w:qFormat/>
    <w:rPr>
      <w:rFonts w:ascii="Symbol" w:hAnsi="Symbol" w:cs="Symbol"/>
      <w:sz w:val="18"/>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sz w:val="16"/>
    </w:rPr>
  </w:style>
  <w:style w:type="character" w:styleId="WW8Num236z0">
    <w:name w:val="WW8Num236z0"/>
    <w:qFormat/>
    <w:rPr>
      <w:rFonts w:ascii="Book Antiqua" w:hAnsi="Book Antiqua" w:cs="Book Antiqua"/>
      <w:sz w:val="18"/>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sz w:val="18"/>
    </w:rPr>
  </w:style>
  <w:style w:type="character" w:styleId="WW8Num249z0">
    <w:name w:val="WW8Num249z0"/>
    <w:qFormat/>
    <w:rPr>
      <w:rFonts w:ascii="Symbol" w:hAnsi="Symbol" w:cs="Symbol"/>
    </w:rPr>
  </w:style>
  <w:style w:type="character" w:styleId="WW8Num250z0">
    <w:name w:val="WW8Num250z0"/>
    <w:qFormat/>
    <w:rPr>
      <w:rFonts w:ascii="Wingdings" w:hAnsi="Wingdings" w:cs="Wingdings"/>
      <w:sz w:val="16"/>
    </w:rPr>
  </w:style>
  <w:style w:type="character" w:styleId="WW8NumSt1z0">
    <w:name w:val="WW8NumSt1z0"/>
    <w:qFormat/>
    <w:rPr>
      <w:rFonts w:ascii="Symbol" w:hAnsi="Symbol" w:cs="Symbol"/>
    </w:rPr>
  </w:style>
  <w:style w:type="character" w:styleId="WW8NumSt2z0">
    <w:name w:val="WW8NumSt2z0"/>
    <w:qFormat/>
    <w:rPr>
      <w:rFonts w:ascii="Book Antiqua" w:hAnsi="Book Antiqua" w:cs="Book Antiqua"/>
      <w:sz w:val="1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18"/>
      <w:lang w:eastAsia="en-US"/>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1134" w:leader="none"/>
      </w:tabs>
      <w:spacing w:lineRule="atLeast" w:line="280"/>
    </w:pPr>
    <w:rPr>
      <w:rFonts w:ascii="Times New Roman" w:hAnsi="Times New Roman" w:cs="Times New Roman"/>
      <w:b/>
    </w:rPr>
  </w:style>
  <w:style w:type="paragraph" w:styleId="Index">
    <w:name w:val="Index"/>
    <w:basedOn w:val="Normal"/>
    <w:qFormat/>
    <w:pPr>
      <w:suppressLineNumbers/>
    </w:pPr>
    <w:rPr>
      <w:rFonts w:cs="NotoSans NF"/>
    </w:rPr>
  </w:style>
  <w:style w:type="paragraph" w:styleId="MacroText">
    <w:name w:val="Macro Text"/>
    <w:qFormat/>
    <w:pPr>
      <w:widowControl/>
      <w:bidi w:val="0"/>
    </w:pPr>
    <w:rPr>
      <w:rFonts w:ascii="Book Antiqua" w:hAnsi="Book Antiqua" w:eastAsia="Times New Roman" w:cs="Book Antiqua"/>
      <w:color w:val="auto"/>
      <w:sz w:val="16"/>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AIOCNORMAL">
    <w:name w:val="AIOC NORMAL"/>
    <w:basedOn w:val="Normal"/>
    <w:qFormat/>
    <w:pPr>
      <w:tabs>
        <w:tab w:val="clear" w:pos="720"/>
        <w:tab w:val="left" w:pos="1440" w:leader="none"/>
      </w:tabs>
    </w:pPr>
    <w:rPr/>
  </w:style>
  <w:style w:type="paragraph" w:styleId="ListBullet">
    <w:name w:val="List Bullet"/>
    <w:basedOn w:val="Normal"/>
    <w:qFormat/>
    <w:pPr>
      <w:numPr>
        <w:ilvl w:val="0"/>
        <w:numId w:val="10"/>
      </w:numPr>
      <w:tabs>
        <w:tab w:val="clear" w:pos="720"/>
        <w:tab w:val="left" w:pos="284" w:leader="none"/>
        <w:tab w:val="left" w:pos="1134" w:leader="none"/>
      </w:tabs>
      <w:spacing w:lineRule="atLeast" w:line="280"/>
      <w:ind w:hanging="284" w:start="284" w:end="0"/>
    </w:pPr>
    <w:rPr>
      <w:rFonts w:ascii="Times New Roman" w:hAnsi="Times New Roman" w:cs="Times New Roman"/>
    </w:rPr>
  </w:style>
  <w:style w:type="paragraph" w:styleId="ListBullet2">
    <w:name w:val="List Bullet 2"/>
    <w:basedOn w:val="Normal"/>
    <w:qFormat/>
    <w:pPr>
      <w:numPr>
        <w:ilvl w:val="0"/>
        <w:numId w:val="8"/>
      </w:numPr>
      <w:tabs>
        <w:tab w:val="clear" w:pos="720"/>
        <w:tab w:val="left" w:pos="567" w:leader="none"/>
        <w:tab w:val="left" w:pos="1134" w:leader="none"/>
      </w:tabs>
      <w:spacing w:lineRule="atLeast" w:line="280"/>
      <w:ind w:hanging="284" w:start="851" w:end="0"/>
    </w:pPr>
    <w:rPr>
      <w:rFonts w:ascii="Times New Roman" w:hAnsi="Times New Roman" w:cs="Times New Roman"/>
    </w:rPr>
  </w:style>
  <w:style w:type="paragraph" w:styleId="ListBullet3">
    <w:name w:val="List Bullet 3"/>
    <w:basedOn w:val="Normal"/>
    <w:qFormat/>
    <w:pPr>
      <w:numPr>
        <w:ilvl w:val="0"/>
        <w:numId w:val="12"/>
      </w:numPr>
      <w:tabs>
        <w:tab w:val="clear" w:pos="720"/>
        <w:tab w:val="left" w:pos="851" w:leader="none"/>
        <w:tab w:val="left" w:pos="1134" w:leader="none"/>
      </w:tabs>
      <w:spacing w:lineRule="atLeast" w:line="280"/>
    </w:pPr>
    <w:rPr/>
  </w:style>
  <w:style w:type="paragraph" w:styleId="ListBullet4">
    <w:name w:val="List Bullet 4"/>
    <w:basedOn w:val="Normal"/>
    <w:qFormat/>
    <w:pPr>
      <w:numPr>
        <w:ilvl w:val="0"/>
        <w:numId w:val="7"/>
      </w:numPr>
      <w:tabs>
        <w:tab w:val="clear" w:pos="720"/>
        <w:tab w:val="left" w:pos="1134" w:leader="none"/>
      </w:tabs>
      <w:spacing w:lineRule="atLeast" w:line="280"/>
      <w:ind w:hanging="284" w:start="1418" w:end="0"/>
    </w:pPr>
    <w:rPr>
      <w:rFonts w:ascii="Times New Roman" w:hAnsi="Times New Roman" w:cs="Times New Roman"/>
    </w:rPr>
  </w:style>
  <w:style w:type="paragraph" w:styleId="ListNumber">
    <w:name w:val="List Number"/>
    <w:basedOn w:val="Normal"/>
    <w:qFormat/>
    <w:pPr>
      <w:numPr>
        <w:ilvl w:val="0"/>
        <w:numId w:val="9"/>
      </w:numPr>
      <w:tabs>
        <w:tab w:val="clear" w:pos="720"/>
        <w:tab w:val="left" w:pos="284" w:leader="none"/>
        <w:tab w:val="left" w:pos="1134" w:leader="none"/>
      </w:tabs>
      <w:spacing w:lineRule="atLeast" w:line="280"/>
      <w:ind w:hanging="284" w:start="284" w:end="0"/>
    </w:pPr>
    <w:rPr>
      <w:rFonts w:ascii="Times New Roman" w:hAnsi="Times New Roman" w:cs="Times New Roman"/>
    </w:rPr>
  </w:style>
  <w:style w:type="paragraph" w:styleId="ListNumber2">
    <w:name w:val="List Number 2"/>
    <w:basedOn w:val="Normal"/>
    <w:qFormat/>
    <w:pPr>
      <w:numPr>
        <w:ilvl w:val="0"/>
        <w:numId w:val="5"/>
      </w:numPr>
      <w:tabs>
        <w:tab w:val="clear" w:pos="720"/>
        <w:tab w:val="left" w:pos="567" w:leader="none"/>
        <w:tab w:val="left" w:pos="1134" w:leader="none"/>
      </w:tabs>
      <w:spacing w:lineRule="atLeast" w:line="280"/>
      <w:ind w:hanging="284" w:start="851" w:end="0"/>
    </w:pPr>
    <w:rPr>
      <w:rFonts w:ascii="Times New Roman" w:hAnsi="Times New Roman" w:cs="Times New Roman"/>
    </w:rPr>
  </w:style>
  <w:style w:type="paragraph" w:styleId="ListNumber3">
    <w:name w:val="List Number 3"/>
    <w:basedOn w:val="Normal"/>
    <w:qFormat/>
    <w:pPr>
      <w:numPr>
        <w:ilvl w:val="0"/>
        <w:numId w:val="4"/>
      </w:numPr>
      <w:tabs>
        <w:tab w:val="clear" w:pos="720"/>
        <w:tab w:val="left" w:pos="851" w:leader="none"/>
        <w:tab w:val="left" w:pos="1134" w:leader="none"/>
      </w:tabs>
      <w:spacing w:lineRule="atLeast" w:line="280"/>
      <w:ind w:hanging="284" w:start="1135" w:end="0"/>
    </w:pPr>
    <w:rPr>
      <w:rFonts w:ascii="Times New Roman" w:hAnsi="Times New Roman" w:cs="Times New Roman"/>
    </w:rPr>
  </w:style>
  <w:style w:type="paragraph" w:styleId="ListNumber5">
    <w:name w:val="List Number 5"/>
    <w:basedOn w:val="Normal"/>
    <w:qFormat/>
    <w:pPr>
      <w:numPr>
        <w:ilvl w:val="0"/>
        <w:numId w:val="2"/>
      </w:numPr>
      <w:tabs>
        <w:tab w:val="clear" w:pos="720"/>
        <w:tab w:val="left" w:pos="1134" w:leader="none"/>
        <w:tab w:val="left" w:pos="1418" w:leader="none"/>
      </w:tabs>
      <w:spacing w:lineRule="atLeast" w:line="280"/>
      <w:ind w:hanging="284" w:start="1418" w:end="0"/>
    </w:pPr>
    <w:rPr>
      <w:rFonts w:ascii="Times New Roman" w:hAnsi="Times New Roman" w:cs="Times New Roman"/>
    </w:rPr>
  </w:style>
  <w:style w:type="paragraph" w:styleId="ListNumber4">
    <w:name w:val="List Number 4"/>
    <w:basedOn w:val="Normal"/>
    <w:qFormat/>
    <w:pPr>
      <w:numPr>
        <w:ilvl w:val="0"/>
        <w:numId w:val="3"/>
      </w:numPr>
      <w:tabs>
        <w:tab w:val="clear" w:pos="720"/>
        <w:tab w:val="left" w:pos="1134" w:leader="none"/>
        <w:tab w:val="left" w:pos="1418" w:leader="none"/>
      </w:tabs>
      <w:spacing w:lineRule="atLeast" w:line="280"/>
      <w:ind w:hanging="0" w:start="1209" w:end="0"/>
    </w:pPr>
    <w:rPr>
      <w:rFonts w:ascii="Times New Roman" w:hAnsi="Times New Roman" w:cs="Times New Roman"/>
    </w:rPr>
  </w:style>
  <w:style w:type="paragraph" w:styleId="ListBullet5">
    <w:name w:val="List Bullet 5"/>
    <w:basedOn w:val="Normal"/>
    <w:qFormat/>
    <w:pPr>
      <w:numPr>
        <w:ilvl w:val="0"/>
        <w:numId w:val="6"/>
      </w:numPr>
      <w:tabs>
        <w:tab w:val="clear" w:pos="720"/>
        <w:tab w:val="left" w:pos="1134" w:leader="none"/>
        <w:tab w:val="left" w:pos="1418" w:leader="none"/>
      </w:tabs>
      <w:spacing w:lineRule="atLeast" w:line="280"/>
      <w:ind w:hanging="284" w:start="1702" w:end="0"/>
    </w:pPr>
    <w:rPr>
      <w:rFonts w:ascii="Times New Roman" w:hAnsi="Times New Roman" w:cs="Times New Roman"/>
    </w:rPr>
  </w:style>
  <w:style w:type="paragraph" w:styleId="AA1stlevelbullet">
    <w:name w:val="AA 1st level bullet"/>
    <w:basedOn w:val="Normal"/>
    <w:qFormat/>
    <w:pPr>
      <w:numPr>
        <w:ilvl w:val="0"/>
        <w:numId w:val="16"/>
      </w:numPr>
      <w:tabs>
        <w:tab w:val="clear" w:pos="720"/>
      </w:tabs>
      <w:spacing w:lineRule="atLeast" w:line="280"/>
      <w:ind w:hanging="284" w:start="284" w:end="0"/>
    </w:pPr>
    <w:rPr>
      <w:rFonts w:ascii="Times New Roman" w:hAnsi="Times New Roman" w:cs="Times New Roman"/>
    </w:rPr>
  </w:style>
  <w:style w:type="paragraph" w:styleId="AA2ndlevelbullet">
    <w:name w:val="AA 2nd level bullet"/>
    <w:basedOn w:val="AA1stlevelbullet"/>
    <w:qFormat/>
    <w:pPr>
      <w:numPr>
        <w:ilvl w:val="0"/>
        <w:numId w:val="17"/>
      </w:numPr>
      <w:tabs>
        <w:tab w:val="left" w:pos="360" w:leader="none"/>
      </w:tabs>
      <w:ind w:hanging="284" w:start="568" w:end="0"/>
    </w:pPr>
    <w:rPr/>
  </w:style>
  <w:style w:type="paragraph" w:styleId="AANumbering">
    <w:name w:val="AA Numbering"/>
    <w:basedOn w:val="Normal"/>
    <w:qFormat/>
    <w:pPr>
      <w:numPr>
        <w:ilvl w:val="0"/>
        <w:numId w:val="15"/>
      </w:numPr>
      <w:tabs>
        <w:tab w:val="clear" w:pos="720"/>
        <w:tab w:val="left" w:pos="1134" w:leader="none"/>
      </w:tabs>
      <w:spacing w:lineRule="atLeast" w:line="280"/>
      <w:ind w:hanging="0" w:start="0" w:end="0"/>
    </w:pPr>
    <w:rPr>
      <w:rFonts w:ascii="Times New Roman" w:hAnsi="Times New Roman" w:cs="Times New Roman"/>
    </w:rPr>
  </w:style>
  <w:style w:type="paragraph" w:styleId="EnvelopeReturn">
    <w:name w:val="envelope return"/>
    <w:basedOn w:val="Normal"/>
    <w:pPr>
      <w:tabs>
        <w:tab w:val="clear" w:pos="720"/>
        <w:tab w:val="left" w:pos="1134" w:leader="none"/>
      </w:tabs>
      <w:spacing w:lineRule="atLeast" w:line="280"/>
    </w:pPr>
    <w:rPr>
      <w:rFonts w:ascii="Arial" w:hAnsi="Arial" w:cs="Arial"/>
      <w:sz w:val="20"/>
    </w:rPr>
  </w:style>
  <w:style w:type="paragraph" w:styleId="BodyText2">
    <w:name w:val="Body Text 2"/>
    <w:basedOn w:val="Normal"/>
    <w:qFormat/>
    <w:pPr/>
    <w:rPr>
      <w:sz w:val="20"/>
    </w:rPr>
  </w:style>
  <w:style w:type="paragraph" w:styleId="BodyTextIndent">
    <w:name w:val="Body Text Indent"/>
    <w:basedOn w:val="Normal"/>
    <w:pPr/>
    <w:rPr>
      <w:sz w:val="20"/>
      <w:lang w:eastAsia="en-US"/>
    </w:rPr>
  </w:style>
  <w:style w:type="paragraph" w:styleId="BodyTextIndent2">
    <w:name w:val="Body Text Indent 2"/>
    <w:basedOn w:val="Normal"/>
    <w:qFormat/>
    <w:pPr>
      <w:tabs>
        <w:tab w:val="clear" w:pos="720"/>
        <w:tab w:val="left" w:pos="72" w:leader="none"/>
        <w:tab w:val="left" w:pos="144" w:leader="none"/>
      </w:tabs>
      <w:ind w:hanging="21" w:start="3" w:end="0"/>
    </w:pPr>
    <w:rPr>
      <w:sz w:val="18"/>
      <w:lang w:eastAsia="en-US"/>
    </w:rPr>
  </w:style>
  <w:style w:type="paragraph" w:styleId="AIOCSUBJECTFROM">
    <w:name w:val="AIOC SUBJECT/FROM"/>
    <w:basedOn w:val="Normal"/>
    <w:qFormat/>
    <w:pPr>
      <w:tabs>
        <w:tab w:val="clear" w:pos="720"/>
        <w:tab w:val="left" w:pos="1134" w:leader="none"/>
      </w:tabs>
      <w:spacing w:lineRule="atLeast" w:line="280"/>
      <w:ind w:hanging="1440" w:start="1440" w:end="0"/>
    </w:pPr>
    <w:rPr>
      <w:rFonts w:ascii="Times New Roman" w:hAnsi="Times New Roman" w:cs="Times New Roman"/>
      <w:lang w:val="en-GB" w:eastAsia="en-US"/>
    </w:rPr>
  </w:style>
  <w:style w:type="paragraph" w:styleId="BlockText">
    <w:name w:val="Block Text"/>
    <w:basedOn w:val="Normal"/>
    <w:qFormat/>
    <w:pPr>
      <w:ind w:hanging="0" w:start="360" w:end="72"/>
    </w:pPr>
    <w:rPr>
      <w:sz w:val="20"/>
    </w:rPr>
  </w:style>
  <w:style w:type="paragraph" w:styleId="BodyText3">
    <w:name w:val="Body Text 3"/>
    <w:basedOn w:val="Normal"/>
    <w:qFormat/>
    <w:pPr/>
    <w:rPr>
      <w:color w:val="000000"/>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2000-06-30T11:48:00Z</dcterms:created>
  <dc:creator>donnelcc</dc:creator>
  <dc:description/>
  <dc:language>en-CA</dc:language>
  <cp:lastModifiedBy>Arthur Andersen</cp:lastModifiedBy>
  <cp:lastPrinted>2000-07-21T08:44:00Z</cp:lastPrinted>
  <dcterms:modified xsi:type="dcterms:W3CDTF">2000-08-27T14:20:00Z</dcterms:modified>
  <cp:revision>11</cp:revision>
  <dc:subject/>
  <dc:title>Project Name</dc:title>
</cp:coreProperties>
</file>