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30"/>
        </w:rPr>
        <w:t xml:space="preserve"> </w:t>
      </w:r>
      <w:r>
        <w:rPr>
          <w:rFonts w:cs="Arial" w:ascii="Arial" w:hAnsi="Arial"/>
          <w:b/>
          <w:sz w:val="30"/>
        </w:rPr>
        <w:tab/>
      </w:r>
    </w:p>
    <w:p>
      <w:pPr>
        <w:pStyle w:val="Caption"/>
        <w:rPr>
          <w:sz w:val="28"/>
        </w:rPr>
      </w:pPr>
      <w:r>
        <w:rPr>
          <w:sz w:val="28"/>
        </w:rPr>
        <w:t>INTEROFFICE</w:t>
      </w:r>
    </w:p>
    <w:p>
      <w:pPr>
        <w:pStyle w:val="Normal"/>
        <w:ind w:start="6030" w:end="0"/>
        <w:rPr>
          <w:rFonts w:ascii="Arial" w:hAnsi="Arial" w:cs="Arial"/>
          <w:b/>
          <w:sz w:val="26"/>
        </w:rPr>
      </w:pPr>
      <w:r>
        <w:rPr>
          <w:rFonts w:cs="Arial" w:ascii="Arial" w:hAnsi="Arial"/>
          <w:b/>
          <w:sz w:val="28"/>
        </w:rPr>
        <w:t>MEMORANDUM</w:t>
      </w:r>
    </w:p>
    <w:p>
      <w:pPr>
        <w:pStyle w:val="Normal"/>
        <w:tabs>
          <w:tab w:val="clear" w:pos="720"/>
          <w:tab w:val="right" w:pos="8640" w:leader="none"/>
        </w:tabs>
        <w:jc w:val="both"/>
        <w:rPr>
          <w:rFonts w:ascii="Arial" w:hAnsi="Arial" w:cs="Arial"/>
          <w:b/>
          <w:sz w:val="26"/>
        </w:rPr>
      </w:pPr>
      <w:r>
        <w:rPr>
          <w:rFonts w:cs="Arial" w:ascii="Arial" w:hAnsi="Arial"/>
          <w:b/>
          <w:sz w:val="26"/>
        </w:rPr>
      </w:r>
    </w:p>
    <w:tbl>
      <w:tblPr>
        <w:tblW w:w="9648" w:type="dxa"/>
        <w:jc w:val="start"/>
        <w:tblInd w:w="0" w:type="dxa"/>
        <w:tblLayout w:type="fixed"/>
        <w:tblCellMar>
          <w:top w:w="0" w:type="dxa"/>
          <w:start w:w="108" w:type="dxa"/>
          <w:bottom w:w="0" w:type="dxa"/>
          <w:end w:w="108" w:type="dxa"/>
        </w:tblCellMar>
      </w:tblPr>
      <w:tblGrid>
        <w:gridCol w:w="1569"/>
        <w:gridCol w:w="3759"/>
        <w:gridCol w:w="1676"/>
        <w:gridCol w:w="475"/>
        <w:gridCol w:w="1956"/>
        <w:gridCol w:w="213"/>
      </w:tblGrid>
      <w:tr>
        <w:trPr/>
        <w:tc>
          <w:tcPr>
            <w:tcW w:w="1569" w:type="dxa"/>
            <w:tcBorders/>
          </w:tcPr>
          <w:p>
            <w:pPr>
              <w:pStyle w:val="Normal"/>
              <w:rPr>
                <w:rFonts w:ascii="Arial" w:hAnsi="Arial" w:cs="Arial"/>
              </w:rPr>
            </w:pPr>
            <w:r>
              <w:rPr>
                <w:rFonts w:cs="Arial" w:ascii="Arial" w:hAnsi="Arial"/>
                <w:b/>
              </w:rPr>
              <w:t>TO:</w:t>
            </w:r>
          </w:p>
        </w:tc>
        <w:tc>
          <w:tcPr>
            <w:tcW w:w="3759" w:type="dxa"/>
            <w:tcBorders/>
          </w:tcPr>
          <w:p>
            <w:pPr>
              <w:pStyle w:val="Normal"/>
              <w:rPr>
                <w:rFonts w:ascii="Arial" w:hAnsi="Arial" w:cs="Arial"/>
              </w:rPr>
            </w:pPr>
            <w:r>
              <w:rPr>
                <w:rFonts w:cs="Arial" w:ascii="Arial" w:hAnsi="Arial"/>
              </w:rPr>
              <w:t xml:space="preserve">Mark Haedicke </w:t>
            </w:r>
          </w:p>
        </w:tc>
        <w:tc>
          <w:tcPr>
            <w:tcW w:w="2151" w:type="dxa"/>
            <w:gridSpan w:val="2"/>
            <w:tcBorders/>
          </w:tcPr>
          <w:p>
            <w:pPr>
              <w:pStyle w:val="Normal"/>
              <w:snapToGrid w:val="false"/>
              <w:rPr>
                <w:rFonts w:ascii="Arial" w:hAnsi="Arial" w:cs="Arial"/>
              </w:rPr>
            </w:pPr>
            <w:r>
              <w:rPr>
                <w:rFonts w:cs="Arial" w:ascii="Arial" w:hAnsi="Arial"/>
              </w:rPr>
            </w:r>
          </w:p>
        </w:tc>
        <w:tc>
          <w:tcPr>
            <w:tcW w:w="1956" w:type="dxa"/>
            <w:tcBorders/>
          </w:tcPr>
          <w:p>
            <w:pPr>
              <w:pStyle w:val="Normal"/>
              <w:snapToGrid w:val="false"/>
              <w:rPr>
                <w:rFonts w:ascii="Arial" w:hAnsi="Arial" w:cs="Arial"/>
              </w:rPr>
            </w:pPr>
            <w:r>
              <w:rPr>
                <w:rFonts w:cs="Arial" w:ascii="Arial" w:hAnsi="Arial"/>
              </w:rPr>
            </w:r>
          </w:p>
        </w:tc>
        <w:tc>
          <w:tcPr>
            <w:tcW w:w="213" w:type="dxa"/>
            <w:tcBorders/>
            <w:tcMar>
              <w:start w:w="0" w:type="dxa"/>
              <w:end w:w="0" w:type="dxa"/>
            </w:tcMar>
          </w:tcPr>
          <w:p>
            <w:pPr>
              <w:pStyle w:val="Normal"/>
              <w:snapToGrid w:val="false"/>
              <w:rPr>
                <w:rFonts w:ascii="Arial" w:hAnsi="Arial" w:cs="Arial"/>
              </w:rPr>
            </w:pPr>
            <w:r>
              <w:rPr>
                <w:rFonts w:cs="Arial" w:ascii="Arial" w:hAnsi="Arial"/>
              </w:rPr>
            </w:r>
          </w:p>
        </w:tc>
      </w:tr>
      <w:tr>
        <w:trPr/>
        <w:tc>
          <w:tcPr>
            <w:tcW w:w="1569" w:type="dxa"/>
            <w:tcBorders/>
          </w:tcPr>
          <w:p>
            <w:pPr>
              <w:pStyle w:val="Normal"/>
              <w:snapToGrid w:val="false"/>
              <w:rPr>
                <w:rFonts w:ascii="Arial" w:hAnsi="Arial" w:cs="Arial"/>
              </w:rPr>
            </w:pPr>
            <w:r>
              <w:rPr>
                <w:rFonts w:cs="Arial" w:ascii="Arial" w:hAnsi="Arial"/>
              </w:rPr>
            </w:r>
          </w:p>
        </w:tc>
        <w:tc>
          <w:tcPr>
            <w:tcW w:w="3759" w:type="dxa"/>
            <w:tcBorders/>
          </w:tcPr>
          <w:p>
            <w:pPr>
              <w:pStyle w:val="Normal"/>
              <w:snapToGrid w:val="false"/>
              <w:rPr>
                <w:rFonts w:ascii="Arial" w:hAnsi="Arial" w:cs="Arial"/>
              </w:rPr>
            </w:pPr>
            <w:r>
              <w:rPr>
                <w:rFonts w:cs="Arial" w:ascii="Arial" w:hAnsi="Arial"/>
              </w:rPr>
            </w:r>
          </w:p>
        </w:tc>
        <w:tc>
          <w:tcPr>
            <w:tcW w:w="2151" w:type="dxa"/>
            <w:gridSpan w:val="2"/>
            <w:tcBorders/>
          </w:tcPr>
          <w:p>
            <w:pPr>
              <w:pStyle w:val="Normal"/>
              <w:snapToGrid w:val="false"/>
              <w:rPr>
                <w:rFonts w:ascii="Arial" w:hAnsi="Arial" w:cs="Arial"/>
              </w:rPr>
            </w:pPr>
            <w:r>
              <w:rPr>
                <w:rFonts w:cs="Arial" w:ascii="Arial" w:hAnsi="Arial"/>
              </w:rPr>
            </w:r>
          </w:p>
        </w:tc>
        <w:tc>
          <w:tcPr>
            <w:tcW w:w="1956" w:type="dxa"/>
            <w:tcBorders/>
          </w:tcPr>
          <w:p>
            <w:pPr>
              <w:pStyle w:val="Normal"/>
              <w:snapToGrid w:val="false"/>
              <w:rPr>
                <w:rFonts w:ascii="Arial" w:hAnsi="Arial" w:cs="Arial"/>
              </w:rPr>
            </w:pPr>
            <w:r>
              <w:rPr>
                <w:rFonts w:cs="Arial" w:ascii="Arial" w:hAnsi="Arial"/>
              </w:rPr>
            </w:r>
          </w:p>
        </w:tc>
        <w:tc>
          <w:tcPr>
            <w:tcW w:w="213" w:type="dxa"/>
            <w:tcBorders/>
            <w:tcMar>
              <w:start w:w="0" w:type="dxa"/>
              <w:end w:w="0" w:type="dxa"/>
            </w:tcMar>
          </w:tcPr>
          <w:p>
            <w:pPr>
              <w:pStyle w:val="Normal"/>
              <w:snapToGrid w:val="false"/>
              <w:rPr>
                <w:rFonts w:ascii="Arial" w:hAnsi="Arial" w:cs="Arial"/>
              </w:rPr>
            </w:pPr>
            <w:r>
              <w:rPr>
                <w:rFonts w:cs="Arial" w:ascii="Arial" w:hAnsi="Arial"/>
              </w:rPr>
            </w:r>
          </w:p>
        </w:tc>
      </w:tr>
      <w:tr>
        <w:trPr/>
        <w:tc>
          <w:tcPr>
            <w:tcW w:w="1569" w:type="dxa"/>
            <w:tcBorders/>
          </w:tcPr>
          <w:p>
            <w:pPr>
              <w:pStyle w:val="Normal"/>
              <w:rPr>
                <w:rFonts w:ascii="Arial" w:hAnsi="Arial" w:cs="Arial"/>
              </w:rPr>
            </w:pPr>
            <w:r>
              <w:rPr>
                <w:rFonts w:cs="Arial" w:ascii="Arial" w:hAnsi="Arial"/>
                <w:b/>
              </w:rPr>
              <w:t>FROM:</w:t>
            </w:r>
          </w:p>
        </w:tc>
        <w:tc>
          <w:tcPr>
            <w:tcW w:w="3759" w:type="dxa"/>
            <w:tcBorders/>
          </w:tcPr>
          <w:p>
            <w:pPr>
              <w:pStyle w:val="Normal"/>
              <w:rPr>
                <w:rFonts w:ascii="Arial" w:hAnsi="Arial" w:cs="Arial"/>
              </w:rPr>
            </w:pPr>
            <w:r>
              <w:rPr>
                <w:rFonts w:cs="Arial" w:ascii="Arial" w:hAnsi="Arial"/>
              </w:rPr>
              <w:t>Brent Hendry</w:t>
            </w:r>
          </w:p>
        </w:tc>
        <w:tc>
          <w:tcPr>
            <w:tcW w:w="2151" w:type="dxa"/>
            <w:gridSpan w:val="2"/>
            <w:tcBorders/>
          </w:tcPr>
          <w:p>
            <w:pPr>
              <w:pStyle w:val="Normal"/>
              <w:rPr>
                <w:rFonts w:ascii="Arial" w:hAnsi="Arial" w:cs="Arial"/>
              </w:rPr>
            </w:pPr>
            <w:r>
              <w:rPr>
                <w:rFonts w:cs="Arial" w:ascii="Arial" w:hAnsi="Arial"/>
                <w:b/>
              </w:rPr>
              <w:t>DEPARTMENT:</w:t>
            </w:r>
          </w:p>
        </w:tc>
        <w:tc>
          <w:tcPr>
            <w:tcW w:w="1956" w:type="dxa"/>
            <w:tcBorders/>
          </w:tcPr>
          <w:p>
            <w:pPr>
              <w:pStyle w:val="Normal"/>
              <w:rPr>
                <w:rFonts w:ascii="Arial" w:hAnsi="Arial" w:cs="Arial"/>
              </w:rPr>
            </w:pPr>
            <w:r>
              <w:rPr>
                <w:rFonts w:cs="Arial" w:ascii="Arial" w:hAnsi="Arial"/>
              </w:rPr>
              <w:t>ENA Legal</w:t>
            </w:r>
          </w:p>
        </w:tc>
        <w:tc>
          <w:tcPr>
            <w:tcW w:w="213" w:type="dxa"/>
            <w:tcBorders/>
            <w:tcMar>
              <w:start w:w="0" w:type="dxa"/>
              <w:end w:w="0" w:type="dxa"/>
            </w:tcMar>
          </w:tcPr>
          <w:p>
            <w:pPr>
              <w:pStyle w:val="Normal"/>
              <w:snapToGrid w:val="false"/>
              <w:rPr>
                <w:rFonts w:ascii="Arial" w:hAnsi="Arial" w:cs="Arial"/>
              </w:rPr>
            </w:pPr>
            <w:r>
              <w:rPr>
                <w:rFonts w:cs="Arial" w:ascii="Arial" w:hAnsi="Arial"/>
              </w:rPr>
            </w:r>
          </w:p>
        </w:tc>
      </w:tr>
      <w:tr>
        <w:trPr/>
        <w:tc>
          <w:tcPr>
            <w:tcW w:w="1569" w:type="dxa"/>
            <w:tcBorders/>
          </w:tcPr>
          <w:p>
            <w:pPr>
              <w:pStyle w:val="Normal"/>
              <w:snapToGrid w:val="false"/>
              <w:rPr>
                <w:rFonts w:ascii="Arial" w:hAnsi="Arial" w:cs="Arial"/>
                <w:b/>
              </w:rPr>
            </w:pPr>
            <w:r>
              <w:rPr>
                <w:rFonts w:cs="Arial" w:ascii="Arial" w:hAnsi="Arial"/>
                <w:b/>
              </w:rPr>
            </w:r>
          </w:p>
        </w:tc>
        <w:tc>
          <w:tcPr>
            <w:tcW w:w="3759" w:type="dxa"/>
            <w:tcBorders/>
          </w:tcPr>
          <w:p>
            <w:pPr>
              <w:pStyle w:val="Normal"/>
              <w:snapToGrid w:val="false"/>
              <w:rPr>
                <w:rFonts w:ascii="Arial" w:hAnsi="Arial" w:cs="Arial"/>
                <w:b/>
              </w:rPr>
            </w:pPr>
            <w:r>
              <w:rPr>
                <w:rFonts w:cs="Arial" w:ascii="Arial" w:hAnsi="Arial"/>
                <w:b/>
              </w:rPr>
            </w:r>
          </w:p>
        </w:tc>
        <w:tc>
          <w:tcPr>
            <w:tcW w:w="2151" w:type="dxa"/>
            <w:gridSpan w:val="2"/>
            <w:tcBorders/>
          </w:tcPr>
          <w:p>
            <w:pPr>
              <w:pStyle w:val="Normal"/>
              <w:snapToGrid w:val="false"/>
              <w:rPr>
                <w:rFonts w:ascii="Arial" w:hAnsi="Arial" w:cs="Arial"/>
                <w:b/>
              </w:rPr>
            </w:pPr>
            <w:r>
              <w:rPr>
                <w:rFonts w:cs="Arial" w:ascii="Arial" w:hAnsi="Arial"/>
                <w:b/>
              </w:rPr>
            </w:r>
          </w:p>
        </w:tc>
        <w:tc>
          <w:tcPr>
            <w:tcW w:w="1956" w:type="dxa"/>
            <w:tcBorders/>
          </w:tcPr>
          <w:p>
            <w:pPr>
              <w:pStyle w:val="Normal"/>
              <w:snapToGrid w:val="false"/>
              <w:rPr>
                <w:rFonts w:ascii="Arial" w:hAnsi="Arial" w:cs="Arial"/>
                <w:b/>
              </w:rPr>
            </w:pPr>
            <w:r>
              <w:rPr>
                <w:rFonts w:cs="Arial" w:ascii="Arial" w:hAnsi="Arial"/>
                <w:b/>
              </w:rPr>
            </w:r>
          </w:p>
        </w:tc>
        <w:tc>
          <w:tcPr>
            <w:tcW w:w="213" w:type="dxa"/>
            <w:tcBorders/>
            <w:tcMar>
              <w:start w:w="0" w:type="dxa"/>
              <w:end w:w="0" w:type="dxa"/>
            </w:tcMar>
          </w:tcPr>
          <w:p>
            <w:pPr>
              <w:pStyle w:val="Normal"/>
              <w:snapToGrid w:val="false"/>
              <w:rPr>
                <w:rFonts w:ascii="Arial" w:hAnsi="Arial" w:cs="Arial"/>
              </w:rPr>
            </w:pPr>
            <w:r>
              <w:rPr>
                <w:rFonts w:cs="Arial" w:ascii="Arial" w:hAnsi="Arial"/>
              </w:rPr>
            </w:r>
          </w:p>
        </w:tc>
      </w:tr>
      <w:tr>
        <w:trPr/>
        <w:tc>
          <w:tcPr>
            <w:tcW w:w="1569" w:type="dxa"/>
            <w:tcBorders/>
          </w:tcPr>
          <w:p>
            <w:pPr>
              <w:pStyle w:val="Normal"/>
              <w:rPr>
                <w:rFonts w:ascii="Arial" w:hAnsi="Arial" w:cs="Arial"/>
              </w:rPr>
            </w:pPr>
            <w:r>
              <w:rPr>
                <w:rFonts w:cs="Arial" w:ascii="Arial" w:hAnsi="Arial"/>
                <w:b/>
              </w:rPr>
              <w:t>SUBJECT:</w:t>
            </w:r>
          </w:p>
        </w:tc>
        <w:tc>
          <w:tcPr>
            <w:tcW w:w="3759" w:type="dxa"/>
            <w:tcBorders/>
          </w:tcPr>
          <w:p>
            <w:pPr>
              <w:pStyle w:val="Normal"/>
              <w:rPr>
                <w:rFonts w:ascii="Arial" w:hAnsi="Arial" w:cs="Arial"/>
              </w:rPr>
            </w:pPr>
            <w:r>
              <w:rPr>
                <w:rFonts w:cs="Arial" w:ascii="Arial" w:hAnsi="Arial"/>
              </w:rPr>
              <w:t>Risk Memo on New Derivative Product</w:t>
            </w:r>
          </w:p>
        </w:tc>
        <w:tc>
          <w:tcPr>
            <w:tcW w:w="1676" w:type="dxa"/>
            <w:tcBorders/>
          </w:tcPr>
          <w:p>
            <w:pPr>
              <w:pStyle w:val="Normal"/>
              <w:rPr>
                <w:rFonts w:ascii="Arial" w:hAnsi="Arial" w:cs="Arial"/>
              </w:rPr>
            </w:pPr>
            <w:r>
              <w:rPr>
                <w:rFonts w:cs="Arial" w:ascii="Arial" w:hAnsi="Arial"/>
                <w:b/>
              </w:rPr>
              <w:t>DATE:</w:t>
            </w:r>
          </w:p>
        </w:tc>
        <w:tc>
          <w:tcPr>
            <w:tcW w:w="2644" w:type="dxa"/>
            <w:gridSpan w:val="3"/>
            <w:tcBorders/>
          </w:tcPr>
          <w:p>
            <w:pPr>
              <w:pStyle w:val="Normal"/>
              <w:rPr>
                <w:rFonts w:ascii="Arial" w:hAnsi="Arial" w:cs="Arial"/>
              </w:rPr>
            </w:pPr>
            <w:r>
              <w:rPr>
                <w:rFonts w:cs="Arial" w:ascii="Arial" w:hAnsi="Arial"/>
              </w:rPr>
              <w:t>January 17, 2001</w:t>
            </w:r>
          </w:p>
        </w:tc>
      </w:tr>
    </w:tbl>
    <w:p>
      <w:pPr>
        <w:pStyle w:val="Normal"/>
        <w:tabs>
          <w:tab w:val="clear" w:pos="720"/>
          <w:tab w:val="left" w:pos="1344" w:leader="none"/>
          <w:tab w:val="left" w:pos="5106" w:leader="none"/>
          <w:tab w:val="left" w:pos="7254" w:leader="none"/>
        </w:tabs>
        <w:jc w:val="both"/>
        <w:rPr>
          <w:rFonts w:ascii="Arial" w:hAnsi="Arial" w:cs="Arial"/>
          <w:sz w:val="26"/>
        </w:rPr>
      </w:pPr>
      <w:r>
        <w:rPr>
          <w:rFonts w:cs="Arial" w:ascii="Arial" w:hAnsi="Arial"/>
          <w:sz w:val="26"/>
        </w:rPr>
      </w:r>
    </w:p>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6"/>
        </w:rPr>
      </w:pPr>
      <w:r>
        <w:rPr>
          <w:b/>
        </w:rPr>
        <w:t>Legal Risk Rating = 3</w:t>
      </w:r>
    </w:p>
    <w:p>
      <w:pPr>
        <w:pStyle w:val="BodyText"/>
        <w:rPr>
          <w:rFonts w:ascii="Arial" w:hAnsi="Arial" w:cs="Arial"/>
          <w:sz w:val="26"/>
        </w:rPr>
      </w:pPr>
      <w:r>
        <w:rPr>
          <w:rFonts w:cs="Arial"/>
          <w:sz w:val="26"/>
        </w:rPr>
      </w:r>
    </w:p>
    <w:p>
      <w:pPr>
        <w:pStyle w:val="BodyText"/>
        <w:rPr/>
      </w:pPr>
      <w:r>
        <w:rPr>
          <w:sz w:val="20"/>
        </w:rPr>
        <w:t xml:space="preserve">David Hoog of the </w:t>
      </w:r>
      <w:r>
        <w:rPr>
          <w:rFonts w:cs="Arial"/>
          <w:sz w:val="20"/>
        </w:rPr>
        <w:t>Global Risk Market Products group is developing a new product to offer to power generators.  The product is a multi-trigger option that would trigger under the following conditions (i) a specified generating unit experiences a defined outage and (ii) the index price is greater than the specified strike price.  This product is designed to hedge generators exposure to volatile summer prices and there are currently very few alternatives to this product in the market.  There is one counterparty that is offering a physical product and two insurance companies offering insurance contracts tied to power replacement cost [confirm].</w:t>
      </w:r>
    </w:p>
    <w:p>
      <w:pPr>
        <w:pStyle w:val="BodyText"/>
        <w:rPr>
          <w:rFonts w:cs="Arial"/>
          <w:sz w:val="20"/>
        </w:rPr>
      </w:pPr>
      <w:r>
        <w:rPr>
          <w:rFonts w:cs="Arial"/>
          <w:sz w:val="20"/>
        </w:rPr>
      </w:r>
    </w:p>
    <w:p>
      <w:pPr>
        <w:pStyle w:val="BodyText"/>
        <w:rPr>
          <w:rFonts w:cs="Arial"/>
          <w:sz w:val="20"/>
        </w:rPr>
      </w:pPr>
      <w:r>
        <w:rPr>
          <w:rFonts w:cs="Arial"/>
          <w:sz w:val="20"/>
        </w:rPr>
        <w:t>Certain characteristics of the product required us to take a closer look at the transaction to determine if it could be considered an insurance product.  The characteristics in this product that are relevant in this determination are as follows.</w:t>
      </w:r>
    </w:p>
    <w:p>
      <w:pPr>
        <w:pStyle w:val="BodyText"/>
        <w:rPr>
          <w:rFonts w:cs="Arial"/>
          <w:sz w:val="20"/>
        </w:rPr>
      </w:pPr>
      <w:r>
        <w:rPr>
          <w:rFonts w:cs="Arial"/>
          <w:sz w:val="20"/>
        </w:rPr>
      </w:r>
    </w:p>
    <w:p>
      <w:pPr>
        <w:pStyle w:val="BodyText"/>
        <w:numPr>
          <w:ilvl w:val="0"/>
          <w:numId w:val="1"/>
        </w:numPr>
        <w:rPr>
          <w:rFonts w:cs="Arial"/>
          <w:sz w:val="20"/>
        </w:rPr>
      </w:pPr>
      <w:r>
        <w:rPr>
          <w:rFonts w:cs="Arial"/>
          <w:sz w:val="20"/>
        </w:rPr>
        <w:t>The triggering event is an outage at the generating unit;</w:t>
      </w:r>
    </w:p>
    <w:p>
      <w:pPr>
        <w:pStyle w:val="BodyText"/>
        <w:numPr>
          <w:ilvl w:val="0"/>
          <w:numId w:val="1"/>
        </w:numPr>
        <w:rPr>
          <w:rFonts w:cs="Arial"/>
          <w:sz w:val="20"/>
        </w:rPr>
      </w:pPr>
      <w:r>
        <w:rPr>
          <w:rFonts w:cs="Arial"/>
          <w:sz w:val="20"/>
        </w:rPr>
        <w:t>One factor in calculating the option payment is the actual number of hours the unit is down; and</w:t>
      </w:r>
    </w:p>
    <w:p>
      <w:pPr>
        <w:pStyle w:val="BodyText"/>
        <w:numPr>
          <w:ilvl w:val="0"/>
          <w:numId w:val="1"/>
        </w:numPr>
        <w:rPr>
          <w:rFonts w:cs="Arial"/>
          <w:sz w:val="20"/>
        </w:rPr>
      </w:pPr>
      <w:r>
        <w:rPr>
          <w:rFonts w:cs="Arial"/>
          <w:sz w:val="20"/>
        </w:rPr>
        <w:t xml:space="preserve">Another factors in calculating the option payment is that the index price is, with certain generators, tied to the weighted average of price of power transactions entered into at the generators control area during all or part of the term of the transaction (in certain instances the generator may be the only generator contracting at that site, in other cases there may be multiple generators entering into transactions at the site).  </w:t>
      </w:r>
    </w:p>
    <w:p>
      <w:pPr>
        <w:pStyle w:val="BodyText"/>
        <w:ind w:start="360" w:end="0"/>
        <w:rPr>
          <w:rFonts w:cs="Arial"/>
          <w:sz w:val="20"/>
        </w:rPr>
      </w:pPr>
      <w:r>
        <w:rPr>
          <w:rFonts w:cs="Arial"/>
          <w:sz w:val="20"/>
        </w:rPr>
      </w:r>
    </w:p>
    <w:p>
      <w:pPr>
        <w:pStyle w:val="BodyText"/>
        <w:rPr>
          <w:rFonts w:cs="Arial"/>
          <w:sz w:val="20"/>
        </w:rPr>
      </w:pPr>
      <w:r>
        <w:rPr>
          <w:rFonts w:cs="Arial"/>
          <w:sz w:val="20"/>
        </w:rPr>
        <w:t>The LeBoeuf, Lamb, Greene &amp; MacRae law firm drafted a memo analyzing the issue and concluded that in the above scenario, to the extent that the Option is not designed to compensate the Buyer for an actual loss, [it would not be unreasonable for the New York Insurance Department and/or courts to]/[it would be reasonable for the New York Insurance Department and/or courts to]/[the New York Insurance Department and/or courts should] conclude that the Option is not a contract of insurance [because there is no requirement that the generator suffer a loss], however, LeBoeuf also concludes that if the payment to the generator were to in fact compensate the generator for an actual loss incurred [(the payment calculation can be highly correlative to the generators expected contract replacement costs for outage at the generation unit)] because of the trigger event the Department and/or courts could take the contrary position and find that the arrangement operates functionally as insurance.</w:t>
      </w:r>
    </w:p>
    <w:p>
      <w:pPr>
        <w:pStyle w:val="BodyText"/>
        <w:rPr>
          <w:rFonts w:eastAsia="Arial" w:cs="Arial"/>
          <w:sz w:val="20"/>
        </w:rPr>
      </w:pPr>
      <w:r>
        <w:rPr>
          <w:rFonts w:eastAsia="Arial" w:cs="Arial"/>
          <w:sz w:val="20"/>
        </w:rPr>
        <w:t xml:space="preserve">  </w:t>
      </w:r>
    </w:p>
    <w:p>
      <w:pPr>
        <w:pStyle w:val="BodyText"/>
        <w:rPr>
          <w:rFonts w:cs="Arial"/>
          <w:sz w:val="20"/>
        </w:rPr>
      </w:pPr>
      <w:r>
        <w:rPr>
          <w:rFonts w:cs="Arial"/>
          <w:sz w:val="20"/>
        </w:rPr>
        <w:t xml:space="preserve">The LeBoeuf law firm is unable to be more definitive because of the lack of precedence on this issue.  There is some ambiguity as to whether certain state insurance departments will take into consideration the party’s intent in putting together the agreement or focus solely on whether the contract requires the party to suffer a loss.  </w:t>
      </w:r>
    </w:p>
    <w:p>
      <w:pPr>
        <w:pStyle w:val="BodyText"/>
        <w:rPr>
          <w:rFonts w:cs="Arial"/>
          <w:sz w:val="20"/>
        </w:rPr>
      </w:pPr>
      <w:r>
        <w:rPr>
          <w:rFonts w:cs="Arial"/>
          <w:sz w:val="20"/>
        </w:rPr>
      </w:r>
    </w:p>
    <w:p>
      <w:pPr>
        <w:pStyle w:val="BodyText"/>
        <w:rPr>
          <w:rFonts w:cs="Arial"/>
          <w:sz w:val="20"/>
        </w:rPr>
      </w:pPr>
      <w:r>
        <w:rPr>
          <w:rFonts w:cs="Arial"/>
          <w:sz w:val="20"/>
        </w:rPr>
        <w:t>I would recommend that notwithstanding the ambiguity we move forward with approving the product for the following reasons:</w:t>
      </w:r>
    </w:p>
    <w:p>
      <w:pPr>
        <w:pStyle w:val="BodyText"/>
        <w:rPr>
          <w:rFonts w:cs="Arial"/>
          <w:sz w:val="20"/>
        </w:rPr>
      </w:pPr>
      <w:r>
        <w:rPr>
          <w:rFonts w:cs="Arial"/>
          <w:sz w:val="20"/>
        </w:rPr>
      </w:r>
    </w:p>
    <w:p>
      <w:pPr>
        <w:pStyle w:val="BodyText"/>
        <w:rPr>
          <w:rFonts w:cs="Arial"/>
          <w:sz w:val="20"/>
        </w:rPr>
      </w:pPr>
      <w:r>
        <w:rPr>
          <w:rFonts w:cs="Arial"/>
          <w:sz w:val="20"/>
        </w:rPr>
        <w:t>*There is a reasonable good faith argument that the product we are offering does not require proof of loss and therefore is not an insurance contract,</w:t>
      </w:r>
    </w:p>
    <w:p>
      <w:pPr>
        <w:pStyle w:val="BodyText"/>
        <w:rPr>
          <w:rFonts w:cs="Arial"/>
          <w:sz w:val="20"/>
        </w:rPr>
      </w:pPr>
      <w:r>
        <w:rPr>
          <w:rFonts w:cs="Arial"/>
          <w:sz w:val="20"/>
        </w:rPr>
        <w:t>*The fact scenario that could give rise to an argument of an arrangement that operates functionally as insurance would not occur in every case [needs to be confirmed], and</w:t>
      </w:r>
    </w:p>
    <w:p>
      <w:pPr>
        <w:pStyle w:val="BodyText"/>
        <w:rPr>
          <w:rFonts w:cs="Arial"/>
          <w:sz w:val="20"/>
        </w:rPr>
      </w:pPr>
      <w:r>
        <w:rPr>
          <w:rFonts w:cs="Arial"/>
          <w:sz w:val="20"/>
        </w:rPr>
        <w:t>*There is a limited total pool of power generators that would be eligible for this product, 30 or 40 across the United States that would mitigate the potential size of any controversy [needs to be confirmed].</w:t>
      </w:r>
    </w:p>
    <w:p>
      <w:pPr>
        <w:pStyle w:val="BodyText"/>
        <w:rPr>
          <w:rFonts w:cs="Arial"/>
          <w:sz w:val="20"/>
        </w:rPr>
      </w:pPr>
      <w:r>
        <w:rPr>
          <w:rFonts w:cs="Arial"/>
          <w:sz w:val="20"/>
        </w:rPr>
      </w:r>
    </w:p>
    <w:p>
      <w:pPr>
        <w:pStyle w:val="BodyText"/>
        <w:rPr>
          <w:rFonts w:cs="Arial"/>
          <w:sz w:val="20"/>
        </w:rPr>
      </w:pPr>
      <w:r>
        <w:rPr>
          <w:rFonts w:cs="Arial"/>
          <w:sz w:val="20"/>
        </w:rPr>
        <w:t>If a state insurance department were to argue that the arrangement of any particular option transaction operates functionally as insurance and therefore the contract is insurance and we were to loose the case, the penalty to be applied would likely be a cease and desist order and/or a fine.  [According to John McGreevy of the LeBoeuf firm, fines imposed in the situation where a state insurance department had determined that a party was improperly selling an insurance product could in his estimate, based on the anticipated number of options Enron may sell, end up in the five figure range.]</w:t>
      </w:r>
    </w:p>
    <w:p>
      <w:pPr>
        <w:pStyle w:val="BodyText"/>
        <w:rPr>
          <w:rFonts w:cs="Arial"/>
          <w:sz w:val="20"/>
        </w:rPr>
      </w:pPr>
      <w:r>
        <w:rPr>
          <w:rFonts w:cs="Arial"/>
          <w:sz w:val="20"/>
        </w:rPr>
      </w:r>
    </w:p>
    <w:p>
      <w:pPr>
        <w:pStyle w:val="BodyText"/>
        <w:rPr>
          <w:rFonts w:cs="Arial"/>
          <w:sz w:val="20"/>
        </w:rPr>
      </w:pPr>
      <w:r>
        <w:rPr>
          <w:rFonts w:cs="Arial"/>
          <w:sz w:val="20"/>
        </w:rPr>
        <w:t>While there is some ambiguity as to the rules that will be applied by any given state insurance department we have a reasonable argument that this product, even in the extreme case where the index is highly correlated to the generators contract prices, does not require a loss and therefore is not insurance.  Because we cannot be certain that this is the standard a state insurance department would apply I would give this issue a Legal Risk Rating of 3 (1 being low risk, 5 being high risk).  Because this product has not been offered before and offering this product would entail taking some risk that we have not taken before we would like your approval prior to moving forward.</w:t>
      </w:r>
    </w:p>
    <w:p>
      <w:pPr>
        <w:pStyle w:val="BodyText"/>
        <w:rPr>
          <w:rFonts w:cs="Arial"/>
          <w:sz w:val="20"/>
        </w:rPr>
      </w:pPr>
      <w:r>
        <w:rPr>
          <w:rFonts w:cs="Arial"/>
          <w:sz w:val="20"/>
        </w:rPr>
      </w:r>
    </w:p>
    <w:p>
      <w:pPr>
        <w:pStyle w:val="BodyText"/>
        <w:rPr>
          <w:rFonts w:cs="Arial"/>
          <w:sz w:val="20"/>
        </w:rPr>
      </w:pPr>
      <w:r>
        <w:rPr>
          <w:rFonts w:cs="Arial"/>
          <w:sz w:val="20"/>
        </w:rPr>
        <w:t>I am enclosing a copy of the LeBoeuf memo for your convenience.  If you have any questions, please call me at extension 37124.</w:t>
      </w:r>
    </w:p>
    <w:p>
      <w:pPr>
        <w:pStyle w:val="BodyText"/>
        <w:rPr>
          <w:rFonts w:cs="Arial"/>
          <w:sz w:val="20"/>
        </w:rPr>
      </w:pPr>
      <w:r>
        <w:rPr>
          <w:rFonts w:cs="Arial"/>
          <w:sz w:val="20"/>
        </w:rPr>
      </w:r>
    </w:p>
    <w:p>
      <w:pPr>
        <w:pStyle w:val="BodyText"/>
        <w:rPr>
          <w:rFonts w:cs="Arial"/>
          <w:sz w:val="20"/>
        </w:rPr>
      </w:pPr>
      <w:r>
        <w:rPr>
          <w:rFonts w:cs="Arial"/>
          <w:sz w:val="20"/>
        </w:rPr>
        <w:t>cc:</w:t>
        <w:tab/>
        <w:t>Mark Taylor</w:t>
      </w:r>
    </w:p>
    <w:p>
      <w:pPr>
        <w:pStyle w:val="BodyText"/>
        <w:rPr>
          <w:rFonts w:cs="Arial"/>
          <w:sz w:val="20"/>
        </w:rPr>
      </w:pPr>
      <w:r>
        <w:rPr>
          <w:rFonts w:cs="Arial"/>
          <w:sz w:val="20"/>
        </w:rPr>
        <w:tab/>
        <w:t>Lou Stoler</w:t>
      </w:r>
    </w:p>
    <w:p>
      <w:pPr>
        <w:pStyle w:val="BodyText"/>
        <w:ind w:firstLine="720" w:end="0"/>
        <w:rPr>
          <w:rFonts w:cs="Arial"/>
          <w:sz w:val="20"/>
        </w:rPr>
      </w:pPr>
      <w:r>
        <w:rPr>
          <w:rFonts w:cs="Arial"/>
          <w:sz w:val="20"/>
        </w:rPr>
        <w:t>David Hoog</w:t>
      </w:r>
    </w:p>
    <w:p>
      <w:pPr>
        <w:pStyle w:val="BodyText"/>
        <w:rPr>
          <w:rFonts w:cs="Arial"/>
          <w:sz w:val="20"/>
        </w:rPr>
      </w:pPr>
      <w:r>
        <w:rPr>
          <w:rFonts w:cs="Arial"/>
          <w:sz w:val="20"/>
        </w:rPr>
        <w:tab/>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6"/>
      <w:szCs w:val="20"/>
    </w:rPr>
  </w:style>
  <w:style w:type="paragraph" w:styleId="List">
    <w:name w:val="List"/>
    <w:basedOn w:val="BodyText"/>
    <w:pPr/>
    <w:rPr>
      <w:rFonts w:cs="NotoSans NF"/>
    </w:rPr>
  </w:style>
  <w:style w:type="paragraph" w:styleId="Caption">
    <w:name w:val="caption"/>
    <w:basedOn w:val="Normal"/>
    <w:next w:val="Normal"/>
    <w:qFormat/>
    <w:pPr>
      <w:ind w:hanging="0" w:start="6030" w:end="0"/>
    </w:pPr>
    <w:rPr>
      <w:rFonts w:ascii="Arial" w:hAnsi="Arial" w:cs="Arial"/>
      <w:b/>
      <w:sz w:val="30"/>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2001-01-17T17:42:00Z</dcterms:created>
  <dc:creator>bhendry</dc:creator>
  <dc:description/>
  <dc:language>en-CA</dc:language>
  <cp:lastModifiedBy>bhendry</cp:lastModifiedBy>
  <cp:lastPrinted>2001-01-17T17:20:00Z</cp:lastPrinted>
  <dcterms:modified xsi:type="dcterms:W3CDTF">2001-01-17T20:53:00Z</dcterms:modified>
  <cp:revision>2</cp:revision>
  <dc:subject/>
  <dc:title>  </dc:title>
</cp:coreProperties>
</file>