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18" w:type="dxa"/>
        <w:tblLayout w:type="fixed"/>
        <w:tblCellMar>
          <w:top w:w="0" w:type="dxa"/>
          <w:start w:w="108" w:type="dxa"/>
          <w:bottom w:w="0" w:type="dxa"/>
          <w:end w:w="108" w:type="dxa"/>
        </w:tblCellMar>
      </w:tblPr>
      <w:tblGrid>
        <w:gridCol w:w="1890"/>
        <w:gridCol w:w="7650"/>
      </w:tblGrid>
      <w:tr>
        <w:trPr/>
        <w:tc>
          <w:tcPr>
            <w:tcW w:w="1890" w:type="dxa"/>
            <w:tcBorders/>
          </w:tcPr>
          <w:p>
            <w:pPr>
              <w:pStyle w:val="FootnoteText"/>
              <w:tabs>
                <w:tab w:val="clear" w:pos="720"/>
                <w:tab w:val="left" w:pos="252" w:leader="none"/>
              </w:tabs>
              <w:spacing w:before="20" w:after="0"/>
              <w:jc w:val="both"/>
              <w:rPr/>
            </w:pPr>
            <w:r>
              <w:rPr/>
              <w:drawing>
                <wp:inline distT="0" distB="0" distL="0" distR="0">
                  <wp:extent cx="837565" cy="831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37565" cy="831850"/>
                          </a:xfrm>
                          <a:prstGeom prst="rect">
                            <a:avLst/>
                          </a:prstGeom>
                          <a:noFill/>
                        </pic:spPr>
                      </pic:pic>
                    </a:graphicData>
                  </a:graphic>
                </wp:inline>
              </w:drawing>
            </w:r>
          </w:p>
        </w:tc>
        <w:tc>
          <w:tcPr>
            <w:tcW w:w="7650" w:type="dxa"/>
            <w:tcBorders/>
          </w:tcPr>
          <w:p>
            <w:pPr>
              <w:pStyle w:val="Normal"/>
              <w:snapToGrid w:val="false"/>
              <w:rPr>
                <w:b/>
                <w:sz w:val="28"/>
              </w:rPr>
            </w:pPr>
            <w:r>
              <w:rPr>
                <w:b/>
                <w:sz w:val="28"/>
              </w:rPr>
            </w:r>
          </w:p>
          <w:p>
            <w:pPr>
              <w:pStyle w:val="Normal"/>
              <w:rPr>
                <w:b/>
                <w:sz w:val="28"/>
              </w:rPr>
            </w:pPr>
            <w:r>
              <w:rPr>
                <w:b/>
                <w:sz w:val="28"/>
              </w:rPr>
              <w:t xml:space="preserve">        </w:t>
            </w:r>
            <w:r>
              <w:rPr>
                <w:b/>
                <w:sz w:val="28"/>
              </w:rPr>
              <w:t>INTEROFFICE MEMORANDUM</w:t>
            </w:r>
          </w:p>
          <w:p>
            <w:pPr>
              <w:pStyle w:val="Normal"/>
              <w:rPr>
                <w:b/>
                <w:sz w:val="36"/>
              </w:rPr>
            </w:pPr>
            <w:r>
              <w:rPr>
                <w:b/>
                <w:sz w:val="36"/>
              </w:rPr>
            </w:r>
          </w:p>
          <w:p>
            <w:pPr>
              <w:pStyle w:val="Normal"/>
              <w:rPr>
                <w:b/>
                <w:sz w:val="36"/>
              </w:rPr>
            </w:pPr>
            <w:r>
              <w:rPr>
                <w:b/>
                <w:sz w:val="36"/>
              </w:rPr>
            </w:r>
          </w:p>
        </w:tc>
      </w:tr>
    </w:tbl>
    <w:p>
      <w:pPr>
        <w:pStyle w:val="Caption"/>
        <w:rPr/>
      </w:pPr>
      <w:r>
        <w:rPr/>
        <w:t>PRIVILEGED AND CONFIDENTIAL</w:t>
      </w:r>
    </w:p>
    <w:p>
      <w:pPr>
        <w:pStyle w:val="Normal"/>
        <w:pBdr>
          <w:top w:val="double" w:sz="12" w:space="1" w:color="000000"/>
        </w:pBdr>
        <w:rPr/>
      </w:pPr>
      <w:r>
        <w:rPr/>
      </w:r>
    </w:p>
    <w:tbl>
      <w:tblPr>
        <w:tblW w:w="9738" w:type="dxa"/>
        <w:jc w:val="start"/>
        <w:tblInd w:w="0" w:type="dxa"/>
        <w:tblLayout w:type="fixed"/>
        <w:tblCellMar>
          <w:top w:w="0" w:type="dxa"/>
          <w:start w:w="108" w:type="dxa"/>
          <w:bottom w:w="0" w:type="dxa"/>
          <w:end w:w="108" w:type="dxa"/>
        </w:tblCellMar>
      </w:tblPr>
      <w:tblGrid>
        <w:gridCol w:w="1728"/>
        <w:gridCol w:w="4770"/>
        <w:gridCol w:w="1440"/>
        <w:gridCol w:w="1800"/>
      </w:tblGrid>
      <w:tr>
        <w:trPr/>
        <w:tc>
          <w:tcPr>
            <w:tcW w:w="1728" w:type="dxa"/>
            <w:tcBorders/>
          </w:tcPr>
          <w:p>
            <w:pPr>
              <w:pStyle w:val="Normal"/>
              <w:spacing w:before="0" w:after="120"/>
              <w:rPr>
                <w:sz w:val="22"/>
              </w:rPr>
            </w:pPr>
            <w:r>
              <w:rPr>
                <w:b/>
                <w:sz w:val="22"/>
              </w:rPr>
              <w:t>TO:</w:t>
            </w:r>
          </w:p>
        </w:tc>
        <w:tc>
          <w:tcPr>
            <w:tcW w:w="4770" w:type="dxa"/>
            <w:tcBorders/>
          </w:tcPr>
          <w:p>
            <w:pPr>
              <w:pStyle w:val="Normal"/>
              <w:rPr>
                <w:sz w:val="22"/>
              </w:rPr>
            </w:pPr>
            <w:r>
              <w:rPr>
                <w:sz w:val="22"/>
              </w:rPr>
              <w:t>Mark Haedicke</w:t>
            </w:r>
          </w:p>
          <w:p>
            <w:pPr>
              <w:pStyle w:val="Normal"/>
              <w:rPr>
                <w:sz w:val="22"/>
              </w:rPr>
            </w:pPr>
            <w:r>
              <w:rPr>
                <w:sz w:val="22"/>
              </w:rPr>
              <w:t>Peter Keohane</w:t>
            </w:r>
          </w:p>
        </w:tc>
        <w:tc>
          <w:tcPr>
            <w:tcW w:w="1440" w:type="dxa"/>
            <w:tcBorders/>
          </w:tcPr>
          <w:p>
            <w:pPr>
              <w:pStyle w:val="Normal"/>
              <w:spacing w:before="0" w:after="120"/>
              <w:rPr>
                <w:b/>
                <w:sz w:val="22"/>
              </w:rPr>
            </w:pPr>
            <w:r>
              <w:rPr>
                <w:b/>
                <w:sz w:val="22"/>
              </w:rPr>
              <w:t xml:space="preserve">DATE:  </w:t>
            </w:r>
          </w:p>
        </w:tc>
        <w:tc>
          <w:tcPr>
            <w:tcW w:w="1800" w:type="dxa"/>
            <w:tcBorders/>
          </w:tcPr>
          <w:p>
            <w:pPr>
              <w:pStyle w:val="Normal"/>
              <w:spacing w:before="0" w:after="120"/>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tc>
      </w:tr>
      <w:tr>
        <w:trPr/>
        <w:tc>
          <w:tcPr>
            <w:tcW w:w="1728" w:type="dxa"/>
            <w:tcBorders/>
          </w:tcPr>
          <w:p>
            <w:pPr>
              <w:pStyle w:val="Normal"/>
              <w:spacing w:before="120" w:after="240"/>
              <w:rPr>
                <w:sz w:val="22"/>
              </w:rPr>
            </w:pPr>
            <w:r>
              <w:rPr>
                <w:b/>
                <w:sz w:val="22"/>
              </w:rPr>
              <w:t>FROM:</w:t>
            </w:r>
          </w:p>
        </w:tc>
        <w:tc>
          <w:tcPr>
            <w:tcW w:w="4770" w:type="dxa"/>
            <w:tcBorders/>
          </w:tcPr>
          <w:p>
            <w:pPr>
              <w:pStyle w:val="Normal"/>
              <w:spacing w:before="120" w:after="120"/>
              <w:rPr>
                <w:sz w:val="22"/>
              </w:rPr>
            </w:pPr>
            <w:r>
              <w:rPr>
                <w:sz w:val="22"/>
              </w:rPr>
              <w:t>Chris Gaffney</w:t>
            </w:r>
          </w:p>
        </w:tc>
        <w:tc>
          <w:tcPr>
            <w:tcW w:w="1440" w:type="dxa"/>
            <w:tcBorders/>
          </w:tcPr>
          <w:p>
            <w:pPr>
              <w:pStyle w:val="Normal"/>
              <w:spacing w:before="120" w:after="240"/>
              <w:rPr>
                <w:b/>
                <w:sz w:val="22"/>
              </w:rPr>
            </w:pPr>
            <w:r>
              <w:rPr>
                <w:b/>
                <w:sz w:val="22"/>
              </w:rPr>
              <w:t>DEPT:</w:t>
            </w:r>
          </w:p>
        </w:tc>
        <w:tc>
          <w:tcPr>
            <w:tcW w:w="1800" w:type="dxa"/>
            <w:tcBorders/>
          </w:tcPr>
          <w:p>
            <w:pPr>
              <w:pStyle w:val="Normal"/>
              <w:spacing w:before="120" w:after="240"/>
              <w:rPr>
                <w:sz w:val="22"/>
              </w:rPr>
            </w:pPr>
            <w:r>
              <w:rPr>
                <w:sz w:val="22"/>
              </w:rPr>
              <w:t>ECC – Legal</w:t>
            </w:r>
          </w:p>
        </w:tc>
      </w:tr>
      <w:tr>
        <w:trPr/>
        <w:tc>
          <w:tcPr>
            <w:tcW w:w="1728" w:type="dxa"/>
            <w:tcBorders/>
          </w:tcPr>
          <w:p>
            <w:pPr>
              <w:pStyle w:val="Normal"/>
              <w:spacing w:before="0" w:after="120"/>
              <w:rPr>
                <w:sz w:val="22"/>
              </w:rPr>
            </w:pPr>
            <w:r>
              <w:rPr>
                <w:b/>
                <w:sz w:val="22"/>
              </w:rPr>
              <w:t>SUBJECT:</w:t>
            </w:r>
          </w:p>
        </w:tc>
        <w:tc>
          <w:tcPr>
            <w:tcW w:w="8010" w:type="dxa"/>
            <w:gridSpan w:val="3"/>
            <w:tcBorders/>
          </w:tcPr>
          <w:p>
            <w:pPr>
              <w:pStyle w:val="Normal"/>
              <w:rPr>
                <w:sz w:val="22"/>
              </w:rPr>
            </w:pPr>
            <w:r>
              <w:rPr>
                <w:sz w:val="22"/>
              </w:rPr>
              <w:t xml:space="preserve">Equity Investment, Services, and Wholesale Energy Supply Transaction with G6 Energy Corp. </w:t>
            </w:r>
          </w:p>
        </w:tc>
      </w:tr>
    </w:tbl>
    <w:p>
      <w:pPr>
        <w:pStyle w:val="Normal"/>
        <w:pBdr>
          <w:bottom w:val="double" w:sz="12" w:space="0" w:color="000000"/>
        </w:pBdr>
        <w:rPr>
          <w:sz w:val="12"/>
        </w:rPr>
      </w:pPr>
      <w:r>
        <w:rPr>
          <w:sz w:val="12"/>
        </w:rPr>
      </w:r>
    </w:p>
    <w:p>
      <w:pPr>
        <w:pStyle w:val="Normal"/>
        <w:jc w:val="center"/>
        <w:rPr>
          <w:sz w:val="12"/>
        </w:rPr>
      </w:pPr>
      <w:r>
        <w:rPr>
          <w:sz w:val="12"/>
        </w:rPr>
      </w:r>
    </w:p>
    <w:p>
      <w:pPr>
        <w:pStyle w:val="Heading1"/>
        <w:ind w:hanging="0" w:start="0"/>
        <w:rPr>
          <w:u w:val="none"/>
        </w:rPr>
      </w:pPr>
      <w:r>
        <w:rPr>
          <w:u w:val="none"/>
        </w:rPr>
        <w:t>ATTORNEY-CLIENT PRIVILEGE – DO NOT PRODUCE</w:t>
      </w:r>
    </w:p>
    <w:p>
      <w:pPr>
        <w:pStyle w:val="Normal"/>
        <w:rPr>
          <w:u w:val="single"/>
        </w:rPr>
      </w:pPr>
      <w:r>
        <w:rPr>
          <w:u w:val="single"/>
        </w:rPr>
        <w:tab/>
        <w:tab/>
        <w:tab/>
        <w:tab/>
        <w:tab/>
        <w:tab/>
        <w:tab/>
        <w:tab/>
        <w:tab/>
        <w:tab/>
        <w:tab/>
        <w:tab/>
      </w:r>
    </w:p>
    <w:p>
      <w:pPr>
        <w:pStyle w:val="Header"/>
        <w:tabs>
          <w:tab w:val="clear" w:pos="4320"/>
          <w:tab w:val="clear" w:pos="8640"/>
        </w:tabs>
        <w:rPr>
          <w:b/>
        </w:rPr>
      </w:pPr>
      <w:r>
        <w:rPr>
          <w:b/>
        </w:rPr>
        <w:t>LEGAL RISK RATING: 4</w:t>
      </w:r>
    </w:p>
    <w:p>
      <w:pPr>
        <w:pStyle w:val="Header"/>
        <w:tabs>
          <w:tab w:val="clear" w:pos="4320"/>
          <w:tab w:val="clear" w:pos="8640"/>
        </w:tabs>
        <w:rPr>
          <w:b/>
        </w:rPr>
      </w:pPr>
      <w:r>
        <w:rPr>
          <w:b/>
        </w:rPr>
      </w:r>
    </w:p>
    <w:p>
      <w:pPr>
        <w:pStyle w:val="Heading2"/>
        <w:ind w:hanging="0" w:start="0"/>
        <w:rPr>
          <w:sz w:val="22"/>
        </w:rPr>
      </w:pPr>
      <w:r>
        <w:rPr>
          <w:sz w:val="22"/>
        </w:rPr>
        <w:t xml:space="preserve">Factual Background  </w:t>
      </w:r>
    </w:p>
    <w:p>
      <w:pPr>
        <w:pStyle w:val="Normal"/>
        <w:rPr>
          <w:sz w:val="22"/>
        </w:rPr>
      </w:pPr>
      <w:r>
        <w:rPr>
          <w:sz w:val="22"/>
        </w:rPr>
      </w:r>
    </w:p>
    <w:p>
      <w:pPr>
        <w:pStyle w:val="Normal"/>
        <w:rPr>
          <w:sz w:val="22"/>
        </w:rPr>
      </w:pPr>
      <w:r>
        <w:rPr>
          <w:sz w:val="22"/>
        </w:rPr>
        <w:t>G6 Energy Corp. (“G6”) is an entity being formed to market retail electricity and services to small industrial and commercial consumers.  The initial shareholders of G6 will consist of Enron Canada Corp. (“ECC”) and the corporate affiliates of four municipal electric utilities (“MEUs”): Hydro Mississauga, London Hydro, St. Catherines Hydro and Oshawa Public Utilities Commission. Pursuant to a Unanimous Shareholders’ Agreement (“USA”), Wholesale Energy Marketing Services Agreement (“Services Agreement”), Share Option Agreement (“Option Agreement”), master physical and financial trading agreements and other collateral agreements Enron Canada Corp. will:</w:t>
      </w:r>
    </w:p>
    <w:p>
      <w:pPr>
        <w:pStyle w:val="Normal"/>
        <w:numPr>
          <w:ilvl w:val="0"/>
          <w:numId w:val="4"/>
        </w:numPr>
        <w:rPr>
          <w:sz w:val="22"/>
        </w:rPr>
      </w:pPr>
      <w:r>
        <w:rPr>
          <w:sz w:val="22"/>
        </w:rPr>
        <w:t>hold a 20% equity interest in G6;</w:t>
      </w:r>
    </w:p>
    <w:p>
      <w:pPr>
        <w:pStyle w:val="Normal"/>
        <w:numPr>
          <w:ilvl w:val="0"/>
          <w:numId w:val="4"/>
        </w:numPr>
        <w:rPr>
          <w:sz w:val="22"/>
        </w:rPr>
      </w:pPr>
      <w:r>
        <w:rPr>
          <w:sz w:val="22"/>
        </w:rPr>
        <w:t>have an option to increase its equity ownership in G6 to 50%;</w:t>
      </w:r>
    </w:p>
    <w:p>
      <w:pPr>
        <w:pStyle w:val="Normal"/>
        <w:numPr>
          <w:ilvl w:val="0"/>
          <w:numId w:val="4"/>
        </w:numPr>
        <w:rPr>
          <w:sz w:val="22"/>
        </w:rPr>
      </w:pPr>
      <w:r>
        <w:rPr>
          <w:sz w:val="22"/>
        </w:rPr>
        <w:t>be the exclusive provider of wholesale energy marketing services to G6; and</w:t>
      </w:r>
    </w:p>
    <w:p>
      <w:pPr>
        <w:pStyle w:val="Normal"/>
        <w:numPr>
          <w:ilvl w:val="0"/>
          <w:numId w:val="4"/>
        </w:numPr>
        <w:rPr>
          <w:sz w:val="22"/>
        </w:rPr>
      </w:pPr>
      <w:r>
        <w:rPr>
          <w:sz w:val="22"/>
        </w:rPr>
        <w:t>be the exclusive wholesale supplier of electricity to G6.</w:t>
      </w:r>
    </w:p>
    <w:p>
      <w:pPr>
        <w:pStyle w:val="Normal"/>
        <w:rPr>
          <w:sz w:val="22"/>
        </w:rPr>
      </w:pPr>
      <w:r>
        <w:rPr>
          <w:sz w:val="22"/>
        </w:rPr>
      </w:r>
    </w:p>
    <w:p>
      <w:pPr>
        <w:pStyle w:val="Heading4"/>
        <w:ind w:hanging="0" w:start="0"/>
        <w:rPr/>
      </w:pPr>
      <w:r>
        <w:rPr/>
        <w:t>Equity Participation</w:t>
      </w:r>
    </w:p>
    <w:p>
      <w:pPr>
        <w:pStyle w:val="Normal"/>
        <w:rPr>
          <w:sz w:val="22"/>
        </w:rPr>
      </w:pPr>
      <w:r>
        <w:rPr>
          <w:sz w:val="22"/>
        </w:rPr>
      </w:r>
    </w:p>
    <w:p>
      <w:pPr>
        <w:pStyle w:val="Normal"/>
        <w:rPr>
          <w:sz w:val="22"/>
        </w:rPr>
      </w:pPr>
      <w:r>
        <w:rPr>
          <w:sz w:val="22"/>
        </w:rPr>
        <w:t xml:space="preserve">ECC will subscribe and pay for its equity on the same basis and at the same price as the municipal corporate shareholders.  Pursuant to the USA, ECC will have board representation (2 of 10 directors) and will also have additional rights as a shareholder to (dis)approve of certain material matters.  </w:t>
      </w:r>
    </w:p>
    <w:p>
      <w:pPr>
        <w:pStyle w:val="Normal"/>
        <w:rPr>
          <w:sz w:val="22"/>
        </w:rPr>
      </w:pPr>
      <w:r>
        <w:rPr>
          <w:sz w:val="22"/>
        </w:rPr>
      </w:r>
    </w:p>
    <w:p>
      <w:pPr>
        <w:pStyle w:val="Normal"/>
        <w:rPr>
          <w:sz w:val="22"/>
        </w:rPr>
      </w:pPr>
      <w:r>
        <w:rPr>
          <w:sz w:val="22"/>
        </w:rPr>
        <w:t>The strike price for the ECC option to increase its equity holding is a floating price based on a fixed multiple of G6’s actual EBITDA for the trailing 12 months (subject to a floor).  The G6 MEUs have already been approached by other major MEUs (Oakville, Hamilton, Ottawa) that have expressed a desire to buy into G6 through equity participation.</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4"/>
        <w:ind w:hanging="0" w:start="0"/>
        <w:rPr/>
      </w:pPr>
      <w:r>
        <w:rPr/>
        <w:t>Wholesale Supply/Services</w:t>
      </w:r>
    </w:p>
    <w:p>
      <w:pPr>
        <w:pStyle w:val="Normal"/>
        <w:rPr/>
      </w:pPr>
      <w:r>
        <w:rPr/>
      </w:r>
    </w:p>
    <w:p>
      <w:pPr>
        <w:pStyle w:val="Normal"/>
        <w:rPr>
          <w:sz w:val="22"/>
        </w:rPr>
      </w:pPr>
      <w:r>
        <w:rPr>
          <w:sz w:val="22"/>
        </w:rPr>
        <w:t>There is no cash services fee payable by G6 to ECC for performance of the services.  Consideration for the services is the ability for ECC to become a shareholder on an equal basis as the MEUs and the agreement by the G6 that ECC shall be the exclusive wholesale supplier of electricity.  The services provided pursuant to the Services Agreement are: operational services (including contract administration, wholesale settlements and credit evaluation) and information and structuring services (including market training, real time pricing, daily market information and commodity product structuring).  Another part of the Services Agreement will have ECC providing certain price and volume risk mitigation in respect of G6 deals (this is discussed further detail below).  Wholesale supply will be made pursuant to ECC standardized trading documentation (Ontario EEI style master physical and ISDA).  The Services Agreement is, and any wholesale trades will be, subject to an Ontario Market Opening condition precedent.</w:t>
      </w:r>
    </w:p>
    <w:p>
      <w:pPr>
        <w:pStyle w:val="Normal"/>
        <w:rPr>
          <w:sz w:val="22"/>
        </w:rPr>
      </w:pPr>
      <w:r>
        <w:rPr>
          <w:sz w:val="22"/>
        </w:rPr>
      </w:r>
    </w:p>
    <w:p>
      <w:pPr>
        <w:pStyle w:val="Normal"/>
        <w:rPr>
          <w:sz w:val="22"/>
        </w:rPr>
      </w:pPr>
      <w:r>
        <w:rPr>
          <w:sz w:val="22"/>
        </w:rPr>
        <w:t>Both the Services Agreement and USA contain limited non-competition provision that bind ECC and ECC’s controlled subsidiaries.  These provisions are discussed below.</w:t>
      </w:r>
    </w:p>
    <w:p>
      <w:pPr>
        <w:pStyle w:val="Normal"/>
        <w:rPr>
          <w:sz w:val="22"/>
        </w:rPr>
      </w:pPr>
      <w:r>
        <w:rPr>
          <w:sz w:val="22"/>
        </w:rPr>
      </w:r>
    </w:p>
    <w:p>
      <w:pPr>
        <w:pStyle w:val="Normal"/>
        <w:rPr>
          <w:sz w:val="22"/>
        </w:rPr>
      </w:pPr>
      <w:r>
        <w:rPr>
          <w:sz w:val="22"/>
        </w:rPr>
        <w:t xml:space="preserve">The commercial drivers in the transaction are as follows:  </w:t>
      </w:r>
    </w:p>
    <w:p>
      <w:pPr>
        <w:pStyle w:val="Normal"/>
        <w:numPr>
          <w:ilvl w:val="0"/>
          <w:numId w:val="3"/>
        </w:numPr>
        <w:rPr>
          <w:sz w:val="22"/>
        </w:rPr>
      </w:pPr>
      <w:r>
        <w:rPr>
          <w:sz w:val="22"/>
        </w:rPr>
        <w:t>incremental wholesale margins (especially valuable with exclusive supply arrangements);</w:t>
      </w:r>
    </w:p>
    <w:p>
      <w:pPr>
        <w:pStyle w:val="Normal"/>
        <w:numPr>
          <w:ilvl w:val="0"/>
          <w:numId w:val="3"/>
        </w:numPr>
        <w:rPr>
          <w:sz w:val="22"/>
        </w:rPr>
      </w:pPr>
      <w:r>
        <w:rPr>
          <w:sz w:val="22"/>
        </w:rPr>
        <w:t>low cost access to additional class of customers that ECC would not otherwise target;</w:t>
      </w:r>
    </w:p>
    <w:p>
      <w:pPr>
        <w:pStyle w:val="Normal"/>
        <w:numPr>
          <w:ilvl w:val="0"/>
          <w:numId w:val="3"/>
        </w:numPr>
        <w:rPr>
          <w:sz w:val="22"/>
        </w:rPr>
      </w:pPr>
      <w:r>
        <w:rPr>
          <w:sz w:val="22"/>
        </w:rPr>
        <w:t xml:space="preserve">equity value increases; </w:t>
      </w:r>
    </w:p>
    <w:p>
      <w:pPr>
        <w:pStyle w:val="Normal"/>
        <w:numPr>
          <w:ilvl w:val="0"/>
          <w:numId w:val="3"/>
        </w:numPr>
        <w:rPr>
          <w:sz w:val="22"/>
        </w:rPr>
      </w:pPr>
      <w:r>
        <w:rPr>
          <w:sz w:val="22"/>
        </w:rPr>
        <w:t>platform for potential ECC or EES expansion into the Ontario retail market (without full exposure to the initial startup costs and risks); and</w:t>
      </w:r>
    </w:p>
    <w:p>
      <w:pPr>
        <w:pStyle w:val="Normal"/>
        <w:numPr>
          <w:ilvl w:val="0"/>
          <w:numId w:val="3"/>
        </w:numPr>
        <w:rPr>
          <w:sz w:val="22"/>
        </w:rPr>
      </w:pPr>
      <w:r>
        <w:rPr>
          <w:sz w:val="22"/>
        </w:rPr>
        <w:t>significant customer data acquisition from MEU databases.</w:t>
      </w:r>
    </w:p>
    <w:p>
      <w:pPr>
        <w:pStyle w:val="Normal"/>
        <w:ind w:firstLine="720" w:end="0"/>
        <w:rPr>
          <w:sz w:val="22"/>
        </w:rPr>
      </w:pPr>
      <w:r>
        <w:rPr>
          <w:sz w:val="22"/>
        </w:rPr>
      </w:r>
    </w:p>
    <w:p>
      <w:pPr>
        <w:pStyle w:val="Normal"/>
        <w:rPr>
          <w:sz w:val="22"/>
        </w:rPr>
      </w:pPr>
      <w:r>
        <w:rPr>
          <w:sz w:val="22"/>
        </w:rPr>
      </w:r>
    </w:p>
    <w:p>
      <w:pPr>
        <w:pStyle w:val="Heading4"/>
        <w:ind w:hanging="0" w:start="0"/>
        <w:rPr/>
      </w:pPr>
      <w:r>
        <w:rPr/>
        <w:t>Legal Risks</w:t>
      </w:r>
    </w:p>
    <w:p>
      <w:pPr>
        <w:pStyle w:val="Normal"/>
        <w:rPr>
          <w:sz w:val="22"/>
        </w:rPr>
      </w:pPr>
      <w:r>
        <w:rPr>
          <w:sz w:val="22"/>
        </w:rPr>
      </w:r>
    </w:p>
    <w:p>
      <w:pPr>
        <w:pStyle w:val="BodyText"/>
        <w:rPr/>
      </w:pPr>
      <w:r>
        <w:rPr/>
        <w:t>The following are the principal risks associated with the transaction together with discussions of the mitigants, if any, to those risks:</w:t>
      </w:r>
    </w:p>
    <w:p>
      <w:pPr>
        <w:pStyle w:val="Normal"/>
        <w:rPr>
          <w:sz w:val="22"/>
        </w:rPr>
      </w:pPr>
      <w:r>
        <w:rPr>
          <w:sz w:val="22"/>
        </w:rPr>
      </w:r>
    </w:p>
    <w:p>
      <w:pPr>
        <w:pStyle w:val="Normal"/>
        <w:numPr>
          <w:ilvl w:val="0"/>
          <w:numId w:val="2"/>
        </w:numPr>
        <w:tabs>
          <w:tab w:val="left" w:pos="720" w:leader="none"/>
        </w:tabs>
        <w:ind w:hanging="360" w:start="720" w:end="0"/>
        <w:rPr>
          <w:sz w:val="22"/>
        </w:rPr>
      </w:pPr>
      <w:r>
        <w:rPr>
          <w:b/>
          <w:bCs/>
          <w:sz w:val="22"/>
        </w:rPr>
        <w:t>Conflict</w:t>
      </w:r>
      <w:r>
        <w:rPr>
          <w:sz w:val="22"/>
        </w:rPr>
        <w:t xml:space="preserve"> </w:t>
      </w:r>
      <w:r>
        <w:rPr>
          <w:b/>
          <w:bCs/>
          <w:sz w:val="22"/>
        </w:rPr>
        <w:t>of</w:t>
      </w:r>
      <w:r>
        <w:rPr>
          <w:sz w:val="22"/>
        </w:rPr>
        <w:t xml:space="preserve"> </w:t>
      </w:r>
      <w:r>
        <w:rPr>
          <w:b/>
          <w:bCs/>
          <w:sz w:val="22"/>
        </w:rPr>
        <w:t>Interest</w:t>
      </w:r>
      <w:r>
        <w:rPr>
          <w:sz w:val="22"/>
        </w:rPr>
        <w:t xml:space="preserve"> </w:t>
      </w:r>
    </w:p>
    <w:p>
      <w:pPr>
        <w:pStyle w:val="Normal"/>
        <w:ind w:start="360" w:end="0"/>
        <w:rPr>
          <w:sz w:val="22"/>
        </w:rPr>
      </w:pPr>
      <w:r>
        <w:rPr>
          <w:sz w:val="22"/>
        </w:rPr>
      </w:r>
    </w:p>
    <w:p>
      <w:pPr>
        <w:pStyle w:val="Normal"/>
        <w:numPr>
          <w:ilvl w:val="1"/>
          <w:numId w:val="2"/>
        </w:numPr>
        <w:tabs>
          <w:tab w:val="clear" w:pos="720"/>
          <w:tab w:val="left" w:pos="1080" w:leader="none"/>
        </w:tabs>
        <w:ind w:hanging="360" w:start="1080" w:end="0"/>
        <w:rPr>
          <w:sz w:val="22"/>
        </w:rPr>
      </w:pPr>
      <w:r>
        <w:rPr>
          <w:b/>
          <w:bCs/>
          <w:sz w:val="22"/>
        </w:rPr>
        <w:t>Wholesale Margin/Exclusivity</w:t>
      </w:r>
      <w:r>
        <w:rPr>
          <w:sz w:val="22"/>
        </w:rPr>
        <w:t xml:space="preserve"> – There is an inherent conflict of interest in the deal structure in that ECC makes only 20 cents on the dollar for profits at the retail level (i.e. as shareholder of G6) while it makes a profit of 100 cents on the dollar at the wholesale level (i.e. as exclusive electricity supplier).  Thus, there is an obvious incentive for ECC to move as much of the margin as possible to the wholesale level.  ECC can do this without fear as G6 has agreed that ECC is the exclusive supplier of wholesale electricity.  The potential for conflict is compounded through the access to information ECC will have as a shareholder and director of G6 and as service provider for G6.</w:t>
      </w:r>
    </w:p>
    <w:p>
      <w:pPr>
        <w:pStyle w:val="Normal"/>
        <w:ind w:start="1080" w:end="0"/>
        <w:rPr/>
      </w:pPr>
      <w:r>
        <w:rPr>
          <w:b/>
          <w:bCs/>
          <w:sz w:val="22"/>
        </w:rPr>
        <w:t>Mitigants</w:t>
      </w:r>
      <w:r>
        <w:rPr>
          <w:sz w:val="22"/>
        </w:rPr>
        <w:t xml:space="preserve"> – The structure has an inherent mitigant in that ECC must price its wholesale supply at a level such that G6 is able to make its required margin and still competitively price to its customers.  If G6 does not get customers, ECC will make nothing at either the wholesale or retail levels.  However, this still would push ECC to price wholesale supply at a point which is exactly at G6’s minimum margin requirement (of which ECC may be aware).  A more important and powerful mitigant is that G6 may terminate the Services Agreement without cause, penalty or liquidated damages.  This termination right is available to G6 once every 6 months.  Thus, if G6 is not satisfied with ECC for any reason, including a perception that it is squeezing the retail margins, G6 may terminate the Services Agreement.  Further mitigants include the standard ECC service agreement disclaimers which consist of:  (i) a full disclaimer of any fiduciary or other special duties, (ii) an express acknowledgment and acceptance that except as expressly otherwise provided, the parties are free to pursue other business opportunities including those competitive with G6, (iii) a specific acknowledgement and acceptance that G6 is making its own independent business decisions, and (iv) a standard of care pursuant to which performance is measured (this is discussed further below).</w:t>
      </w:r>
    </w:p>
    <w:p>
      <w:pPr>
        <w:pStyle w:val="Normal"/>
        <w:ind w:start="1080" w:end="0"/>
        <w:rPr>
          <w:sz w:val="22"/>
        </w:rPr>
      </w:pPr>
      <w:r>
        <w:rPr>
          <w:sz w:val="22"/>
        </w:rPr>
      </w:r>
    </w:p>
    <w:p>
      <w:pPr>
        <w:pStyle w:val="Normal"/>
        <w:numPr>
          <w:ilvl w:val="1"/>
          <w:numId w:val="2"/>
        </w:numPr>
        <w:tabs>
          <w:tab w:val="clear" w:pos="720"/>
          <w:tab w:val="left" w:pos="1080" w:leader="none"/>
        </w:tabs>
        <w:ind w:hanging="360" w:start="1080" w:end="0"/>
        <w:rPr>
          <w:sz w:val="22"/>
        </w:rPr>
      </w:pPr>
      <w:r>
        <w:rPr>
          <w:b/>
          <w:bCs/>
          <w:sz w:val="22"/>
        </w:rPr>
        <w:t>Affiliate Competition</w:t>
      </w:r>
      <w:r>
        <w:rPr>
          <w:sz w:val="22"/>
        </w:rPr>
        <w:t xml:space="preserve"> – The non-competition provisions in the Services Agreement only bind ECC and its controlled subsidiaries and not any of its other affiliates (including EES).  Thus, there is a potential for non-ECC controlled affiliates (most likely EES) to enter the Ontario market and compete with G6.</w:t>
      </w:r>
    </w:p>
    <w:p>
      <w:pPr>
        <w:pStyle w:val="BodyTextIndent"/>
        <w:ind w:start="1080" w:end="0"/>
        <w:rPr/>
      </w:pPr>
      <w:r>
        <w:rPr>
          <w:b/>
          <w:bCs/>
        </w:rPr>
        <w:t>Mitigants</w:t>
      </w:r>
      <w:r>
        <w:rPr/>
        <w:t xml:space="preserve"> – There are no restrictions on non-ECC controlled affiliates.  Further, in addition to the general termination right, the Services Agreement includes provision such that G6 may terminate and receive liquidated damages in the event that G6 has failed to reach a threshold level of retail sales, and non-ECC controlled affiliates have reached a level of retail sales in excess of a separate threshold.</w:t>
      </w:r>
    </w:p>
    <w:p>
      <w:pPr>
        <w:pStyle w:val="BodyTextIndent"/>
        <w:ind w:start="1080" w:end="0"/>
        <w:rPr/>
      </w:pPr>
      <w:r>
        <w:rPr/>
      </w:r>
    </w:p>
    <w:p>
      <w:pPr>
        <w:pStyle w:val="Normal"/>
        <w:numPr>
          <w:ilvl w:val="1"/>
          <w:numId w:val="2"/>
        </w:numPr>
        <w:tabs>
          <w:tab w:val="clear" w:pos="720"/>
          <w:tab w:val="left" w:pos="1080" w:leader="none"/>
        </w:tabs>
        <w:ind w:hanging="360" w:start="1080" w:end="0"/>
        <w:rPr>
          <w:sz w:val="22"/>
        </w:rPr>
      </w:pPr>
      <w:r>
        <w:rPr>
          <w:b/>
          <w:bCs/>
          <w:sz w:val="22"/>
        </w:rPr>
        <w:t>Option Price</w:t>
      </w:r>
      <w:r>
        <w:rPr>
          <w:sz w:val="22"/>
        </w:rPr>
        <w:t xml:space="preserve"> – The strike price of the option for ECC to acquire an additional 30% equity interest in G6 is based upon a set multiple of the trailing 12 month EBITDA of G6.  However, as ECC is the exclusive supplier of electricity to G6 ECC has the ability to affect G6’s EBITDA (e.g. ECC could price wholesale supply so high that G6 cannot do any deals).</w:t>
      </w:r>
    </w:p>
    <w:p>
      <w:pPr>
        <w:pStyle w:val="BodyTextIndent"/>
        <w:ind w:start="1080" w:end="0"/>
        <w:rPr/>
      </w:pPr>
      <w:r>
        <w:rPr>
          <w:b/>
          <w:bCs/>
        </w:rPr>
        <w:t>Mitigants</w:t>
      </w:r>
      <w:r>
        <w:rPr/>
        <w:t xml:space="preserve"> – The strike price for the option has a negotiated floor such that regardless of how low the EBITDA of G6 goes, the other shareholders are guaranteed a minimum return on their investment in the event of option exercise by ECC.  Also, ECC stands to make more through wholesale supply and its share of the G6 margins then it would in keeping the option strike price at an artificially low level.  A more effective and powerful mitigant is the general right of termination discussed above.</w:t>
      </w:r>
    </w:p>
    <w:p>
      <w:pPr>
        <w:pStyle w:val="BodyTextIndent"/>
        <w:ind w:start="1080" w:end="0"/>
        <w:rPr/>
      </w:pPr>
      <w:r>
        <w:rPr/>
      </w:r>
    </w:p>
    <w:p>
      <w:pPr>
        <w:pStyle w:val="Normal"/>
        <w:numPr>
          <w:ilvl w:val="0"/>
          <w:numId w:val="2"/>
        </w:numPr>
        <w:tabs>
          <w:tab w:val="left" w:pos="720" w:leader="none"/>
        </w:tabs>
        <w:ind w:hanging="360" w:start="720" w:end="0"/>
        <w:rPr>
          <w:sz w:val="22"/>
        </w:rPr>
      </w:pPr>
      <w:r>
        <w:rPr>
          <w:b/>
          <w:bCs/>
          <w:sz w:val="22"/>
        </w:rPr>
        <w:t xml:space="preserve">Authority/Capacity </w:t>
      </w:r>
      <w:r>
        <w:rPr>
          <w:sz w:val="22"/>
        </w:rPr>
        <w:t>– In the typical circumstance whereby ECC is trading with a non-affiliated third party, ECC has certain protections available with respect to the authority and capacity of the third party to enter into trades. These statutory and common law protections include the actual and ostensible authority and indoor management rules and doctrines.  However, as ECC has actual knowledge regarding the authority and capacity (or lack thereof) of G6 to enter into certain types of trading transactions it is incumbent upon ECC to make all of its traders/originators aware of such restrictions and put procedures in place with respect to dealing with G6.</w:t>
      </w:r>
    </w:p>
    <w:p>
      <w:pPr>
        <w:pStyle w:val="BodyTextIndent2"/>
        <w:ind w:start="720" w:end="0"/>
        <w:rPr/>
      </w:pPr>
      <w:r>
        <w:rPr>
          <w:b/>
          <w:bCs/>
        </w:rPr>
        <w:t>Mitigants</w:t>
      </w:r>
      <w:r>
        <w:rPr/>
        <w:t xml:space="preserve"> – None.  From the perspective of a shareholder of G6, the restrictions on G6 are necessary.  To protect against any problems procedures will need to be put in place regarding trading with G6.  Given the size of ECC and in particular the Toronto office, such procedures should be manageable. </w:t>
      </w:r>
    </w:p>
    <w:p>
      <w:pPr>
        <w:pStyle w:val="BodyTextIndent2"/>
        <w:ind w:start="720" w:end="0"/>
        <w:rPr/>
      </w:pPr>
      <w:r>
        <w:rPr/>
      </w:r>
    </w:p>
    <w:p>
      <w:pPr>
        <w:pStyle w:val="Normal"/>
        <w:numPr>
          <w:ilvl w:val="0"/>
          <w:numId w:val="2"/>
        </w:numPr>
        <w:tabs>
          <w:tab w:val="left" w:pos="720" w:leader="none"/>
        </w:tabs>
        <w:ind w:hanging="360" w:start="720" w:end="0"/>
        <w:rPr>
          <w:sz w:val="22"/>
        </w:rPr>
      </w:pPr>
      <w:r>
        <w:rPr>
          <w:b/>
          <w:bCs/>
          <w:sz w:val="22"/>
        </w:rPr>
        <w:t>Corporate Governance</w:t>
      </w:r>
      <w:r>
        <w:rPr>
          <w:sz w:val="22"/>
        </w:rPr>
        <w:t xml:space="preserve"> </w:t>
      </w:r>
    </w:p>
    <w:p>
      <w:pPr>
        <w:pStyle w:val="Normal"/>
        <w:ind w:start="360" w:end="0"/>
        <w:rPr>
          <w:sz w:val="22"/>
        </w:rPr>
      </w:pPr>
      <w:r>
        <w:rPr>
          <w:sz w:val="22"/>
        </w:rPr>
      </w:r>
    </w:p>
    <w:p>
      <w:pPr>
        <w:pStyle w:val="Normal"/>
        <w:numPr>
          <w:ilvl w:val="1"/>
          <w:numId w:val="2"/>
        </w:numPr>
        <w:rPr>
          <w:sz w:val="22"/>
        </w:rPr>
      </w:pPr>
      <w:r>
        <w:rPr>
          <w:b/>
          <w:bCs/>
          <w:sz w:val="22"/>
        </w:rPr>
        <w:t>Dealing with Municipal Directors and Shareholders/Control</w:t>
      </w:r>
      <w:r>
        <w:rPr>
          <w:sz w:val="22"/>
        </w:rPr>
        <w:t xml:space="preserve"> – The USA is set up such that the directors of the G6 manage its business and affairs.  The right to designate directors is based on relative shareholdings.  Initially, ECC will designate only 2 of 10 directors.  After exercise of its option ECC will designate 5 of 10 directors.  Thus, even post option, ECC will not control a majority of the board.  Further, as the interests of the municipal shareholders are somewhat aligned, there is a potential risk that they will vote as a group (they will initially hold 80%).  </w:t>
      </w:r>
    </w:p>
    <w:p>
      <w:pPr>
        <w:pStyle w:val="Normal"/>
        <w:ind w:start="1080" w:end="0"/>
        <w:rPr>
          <w:b/>
          <w:bCs/>
          <w:sz w:val="22"/>
        </w:rPr>
      </w:pPr>
      <w:r>
        <w:rPr>
          <w:b/>
          <w:bCs/>
          <w:sz w:val="22"/>
        </w:rPr>
      </w:r>
    </w:p>
    <w:p>
      <w:pPr>
        <w:pStyle w:val="Normal"/>
        <w:ind w:start="1440" w:end="0"/>
        <w:rPr>
          <w:sz w:val="22"/>
        </w:rPr>
      </w:pPr>
      <w:r>
        <w:rPr>
          <w:sz w:val="22"/>
        </w:rPr>
        <w:t xml:space="preserve">The other issue with respect to governance is with respect to the relative inexperience and lack of sophistication of the municipal shareholders generally.  Unlike most corporations, the municipal corporate shareholders may have a number of internal approvals that could slow the business decision-making ability of G6 and may have a political agenda that does not mesh with the profit making goals of a normal corporation.  </w:t>
      </w:r>
    </w:p>
    <w:p>
      <w:pPr>
        <w:pStyle w:val="Normal"/>
        <w:ind w:start="1440" w:end="0"/>
        <w:rPr/>
      </w:pPr>
      <w:r>
        <w:rPr>
          <w:b/>
          <w:bCs/>
          <w:sz w:val="22"/>
        </w:rPr>
        <w:t>Mitigants</w:t>
      </w:r>
      <w:r>
        <w:rPr>
          <w:sz w:val="22"/>
        </w:rPr>
        <w:t xml:space="preserve"> – To deal with these issues, the USA is set up such that the shareholders must approve (by an 81% threshold) a specific set of matters (all material matters of the G6).  This provides ECC with an effective veto, both prior to and after, exercise of the Option.  However, it also provides  (both prior to and after exercise of the option) an effective veto for any other shareholder or group of shareholders with a 20% equity interest.  A determination was made that it was important for ECC to be able to exercise veto rights over material decisions when initially holding 20%, notwithstanding that the 20% veto would still exist once ECC exercised the option and held 50%.  The reason for this is that there is a high likelihood that ECC will trigger the shotgun clause in the USA immediately after exercise of its option.  As the shotgun is a true shotgun, once triggered, ECC will ultimately end up with either 100% or 0% of the G6.  </w:t>
      </w:r>
    </w:p>
    <w:p>
      <w:pPr>
        <w:pStyle w:val="Normal"/>
        <w:ind w:start="1080" w:end="0"/>
        <w:rPr>
          <w:sz w:val="22"/>
        </w:rPr>
      </w:pPr>
      <w:r>
        <w:rPr>
          <w:sz w:val="22"/>
        </w:rPr>
      </w:r>
    </w:p>
    <w:p>
      <w:pPr>
        <w:pStyle w:val="Normal"/>
        <w:numPr>
          <w:ilvl w:val="1"/>
          <w:numId w:val="2"/>
        </w:numPr>
        <w:rPr>
          <w:sz w:val="22"/>
        </w:rPr>
      </w:pPr>
      <w:r>
        <w:rPr>
          <w:b/>
          <w:bCs/>
          <w:sz w:val="22"/>
        </w:rPr>
        <w:t>Directors Liability</w:t>
      </w:r>
      <w:r>
        <w:rPr>
          <w:sz w:val="22"/>
        </w:rPr>
        <w:t xml:space="preserve"> – The directors will not be absolved of liability notwithstanding the requirement for shareholder approval of certain matters.  </w:t>
      </w:r>
    </w:p>
    <w:p>
      <w:pPr>
        <w:pStyle w:val="BodyTextIndent"/>
        <w:rPr/>
      </w:pPr>
      <w:r>
        <w:rPr>
          <w:b/>
          <w:bCs/>
        </w:rPr>
        <w:t>Mitigant</w:t>
      </w:r>
      <w:r>
        <w:rPr/>
        <w:t xml:space="preserve"> – G6 will be obtaining D&amp;O insurance.  Any ECC nominee directors will be advised of their duties by ECC legal.</w:t>
      </w:r>
    </w:p>
    <w:p>
      <w:pPr>
        <w:pStyle w:val="BodyTextIndent"/>
        <w:rPr/>
      </w:pPr>
      <w:r>
        <w:rPr/>
      </w:r>
    </w:p>
    <w:p>
      <w:pPr>
        <w:pStyle w:val="Normal"/>
        <w:numPr>
          <w:ilvl w:val="1"/>
          <w:numId w:val="2"/>
        </w:numPr>
        <w:rPr>
          <w:sz w:val="22"/>
        </w:rPr>
      </w:pPr>
      <w:r>
        <w:rPr>
          <w:b/>
          <w:bCs/>
          <w:sz w:val="22"/>
        </w:rPr>
        <w:t>Shareholder Liability</w:t>
      </w:r>
      <w:r>
        <w:rPr>
          <w:sz w:val="22"/>
        </w:rPr>
        <w:t xml:space="preserve"> – As mentioned above, the USA is set up such that certain matters require shareholder approval.  The risk here is that, pursuant to the </w:t>
      </w:r>
      <w:r>
        <w:rPr>
          <w:i/>
          <w:iCs/>
          <w:sz w:val="22"/>
        </w:rPr>
        <w:t>Business Corporations Act</w:t>
      </w:r>
      <w:r>
        <w:rPr>
          <w:sz w:val="22"/>
        </w:rPr>
        <w:t xml:space="preserve"> (Ontario), to the extent that the USA does shift to the shareholders certain rights, powers and duties of the directors, the shareholders are required to discharge these duties to the standard required of directors  this would include the duty to act in the best interests of the corporation.</w:t>
      </w:r>
    </w:p>
    <w:p>
      <w:pPr>
        <w:pStyle w:val="BodyTextIndent"/>
        <w:rPr/>
      </w:pPr>
      <w:r>
        <w:rPr>
          <w:b/>
          <w:bCs/>
        </w:rPr>
        <w:t>Mitigants</w:t>
      </w:r>
      <w:r>
        <w:rPr/>
        <w:t xml:space="preserve"> - The USA specifically does not shift to the shareholders certain rights, powers and duties of the directors.  Rather it requires an additional level of approvals.  Further, the USA specifically provides that the shareholders and their affiliates have no fiduciary or other duties to the other shareholders or G6, may have competitive businesses to the other shareholders and G6 and may exercise their rights under the USA as they see fit.  This should mitigate the risk as among the parties to the USA but may not do so vis a vis third parties. </w:t>
      </w:r>
    </w:p>
    <w:p>
      <w:pPr>
        <w:pStyle w:val="BodyTextIndent"/>
        <w:rPr/>
      </w:pPr>
      <w:r>
        <w:rPr/>
      </w:r>
    </w:p>
    <w:p>
      <w:pPr>
        <w:pStyle w:val="Normal"/>
        <w:numPr>
          <w:ilvl w:val="0"/>
          <w:numId w:val="2"/>
        </w:numPr>
        <w:tabs>
          <w:tab w:val="left" w:pos="720" w:leader="none"/>
        </w:tabs>
        <w:ind w:hanging="360" w:start="720" w:end="0"/>
        <w:rPr>
          <w:sz w:val="22"/>
        </w:rPr>
      </w:pPr>
      <w:r>
        <w:rPr>
          <w:b/>
          <w:bCs/>
          <w:sz w:val="22"/>
        </w:rPr>
        <w:t>Standard Of Care/Services</w:t>
      </w:r>
      <w:r>
        <w:rPr>
          <w:sz w:val="22"/>
        </w:rPr>
        <w:t xml:space="preserve"> – The standard of care in the Services Agreement goes beyond the typical reasonable independent contractor/negligence standard.  It also states that, to the extent that ECC performs the same duties internally, it will perform such similar services at the same internal standard to G6.  This standard is high, especially considering certain of the following services that ECC is required to perform.</w:t>
      </w:r>
    </w:p>
    <w:p>
      <w:pPr>
        <w:pStyle w:val="Normal"/>
        <w:numPr>
          <w:ilvl w:val="1"/>
          <w:numId w:val="2"/>
        </w:numPr>
        <w:rPr>
          <w:sz w:val="22"/>
        </w:rPr>
      </w:pPr>
      <w:r>
        <w:rPr>
          <w:b/>
          <w:bCs/>
          <w:sz w:val="22"/>
        </w:rPr>
        <w:t>Contract Administration</w:t>
      </w:r>
      <w:r>
        <w:rPr>
          <w:sz w:val="22"/>
        </w:rPr>
        <w:t xml:space="preserve"> – Included in this offering is the preparation of a standard for retail contract for G6 to use with customers.  The risk here is that to the extent there are problems with the contract (especially with respect to enforceability of any provisions thereof) G6 may have a potential claim against ECC. </w:t>
      </w:r>
    </w:p>
    <w:p>
      <w:pPr>
        <w:pStyle w:val="Normal"/>
        <w:ind w:start="1440" w:end="0"/>
        <w:rPr/>
      </w:pPr>
      <w:r>
        <w:rPr>
          <w:b/>
          <w:bCs/>
          <w:sz w:val="22"/>
        </w:rPr>
        <w:t>Mitigants</w:t>
      </w:r>
      <w:r>
        <w:rPr>
          <w:sz w:val="22"/>
        </w:rPr>
        <w:t xml:space="preserve"> – ECC would be required to rely on the standard of care, disclaimer of fiduciary duty, independent business decision-making and independent contractor provisions.  There are also specific provisions which state that ECC is not providing any legal advice to G6.  We are proposing that G6 be required to undertake its own legal review of the contract and provide independent approval of the form.</w:t>
      </w:r>
    </w:p>
    <w:p>
      <w:pPr>
        <w:pStyle w:val="Normal"/>
        <w:numPr>
          <w:ilvl w:val="1"/>
          <w:numId w:val="2"/>
        </w:numPr>
        <w:rPr>
          <w:sz w:val="22"/>
        </w:rPr>
      </w:pPr>
      <w:r>
        <w:rPr>
          <w:b/>
          <w:bCs/>
          <w:sz w:val="22"/>
        </w:rPr>
        <w:t>Credit Evaluation</w:t>
      </w:r>
      <w:r>
        <w:rPr>
          <w:sz w:val="22"/>
        </w:rPr>
        <w:t xml:space="preserve"> – Included in this offering is assistance in evaluating and monitoring counter party credit risk and exposure.  The risk is that if a counter party has credit problems G6 may sue ECC.  </w:t>
      </w:r>
    </w:p>
    <w:p>
      <w:pPr>
        <w:pStyle w:val="Normal"/>
        <w:ind w:start="1440" w:end="0"/>
        <w:rPr/>
      </w:pPr>
      <w:r>
        <w:rPr>
          <w:b/>
          <w:bCs/>
          <w:sz w:val="22"/>
        </w:rPr>
        <w:t>Mitigants</w:t>
      </w:r>
      <w:r>
        <w:rPr>
          <w:sz w:val="22"/>
        </w:rPr>
        <w:t xml:space="preserve"> – ECC is only assisting G6 in credit evaluation and assessing credit risk based on guidelines created by G6 and not the internal credit policies of ECC.  Further, the Services Agreement specifically provides that G6 is bearing all of the default and credit risk of its counter parties. Beyond that ECC would be forced to rely on the standard of care, independent business decision-making and independent contractor provisions..</w:t>
      </w:r>
    </w:p>
    <w:p>
      <w:pPr>
        <w:pStyle w:val="Normal"/>
        <w:numPr>
          <w:ilvl w:val="1"/>
          <w:numId w:val="2"/>
        </w:numPr>
        <w:rPr>
          <w:sz w:val="22"/>
        </w:rPr>
      </w:pPr>
      <w:r>
        <w:rPr>
          <w:b/>
          <w:bCs/>
          <w:sz w:val="22"/>
        </w:rPr>
        <w:t>Risk Mitigation</w:t>
      </w:r>
      <w:r>
        <w:rPr>
          <w:sz w:val="22"/>
        </w:rPr>
        <w:t xml:space="preserve"> – The structure of the deal is set up such that for each retail transaction ECC will stream a specific wholesale supply transaction to G6 (collectively, a “back to back transaction”).   To the extent ECC and G6 jointly approve the back-to-back transaction, ECC assumes any losses or gains associated with the “Price Risk” and “Volume Risk” of the back-to-back transaction.  “Price Risk” has a lengthy definition which is essentially the financial risk that G6’s mark to market exposure fluctuates solely as a result of fluctuations in forward prices.  “Volume Risk” is defined as the financial risk that the quantity of electricity that G6 is required to supply to its retail customer is different than that supplied by ECC to G6 as part of the back-to-back transaction.  </w:t>
      </w:r>
    </w:p>
    <w:p>
      <w:pPr>
        <w:pStyle w:val="Normal"/>
        <w:ind w:start="1440" w:end="0"/>
        <w:rPr/>
      </w:pPr>
      <w:r>
        <w:rPr>
          <w:b/>
          <w:bCs/>
          <w:sz w:val="22"/>
        </w:rPr>
        <w:t>Mitigants</w:t>
      </w:r>
      <w:r>
        <w:rPr>
          <w:sz w:val="22"/>
        </w:rPr>
        <w:t xml:space="preserve"> – As G6 will be providing the details of the underlying transaction, ECC will be able to structure a deal that either completely hedges the price and volume risk to G6 (i.e. exact same confirmation terms except for an incremental margin to the contract price).  Further, G6 must make full disclosure of information related to the back-to-back transaction, may not amend or modify the back to back transaction or customer master agreement, may only do transactions under unmodified master agreements, and must get ECC consent to transactions.  In short, ECC can manage both Price Risk and Volume Risk.  Also, risk mitigation specifically excludes credit risk, legal risk, default risk and any other risks associated with the transactions.</w:t>
      </w:r>
    </w:p>
    <w:p>
      <w:pPr>
        <w:pStyle w:val="Normal"/>
        <w:ind w:start="1440" w:end="0"/>
        <w:rPr>
          <w:sz w:val="22"/>
        </w:rPr>
      </w:pPr>
      <w:r>
        <w:rPr>
          <w:sz w:val="22"/>
        </w:rPr>
        <w:t xml:space="preserve">  </w:t>
      </w:r>
    </w:p>
    <w:p>
      <w:pPr>
        <w:pStyle w:val="Normal"/>
        <w:numPr>
          <w:ilvl w:val="0"/>
          <w:numId w:val="2"/>
        </w:numPr>
        <w:tabs>
          <w:tab w:val="left" w:pos="720" w:leader="none"/>
        </w:tabs>
        <w:ind w:hanging="360" w:start="720" w:end="0"/>
        <w:rPr>
          <w:sz w:val="22"/>
        </w:rPr>
      </w:pPr>
      <w:r>
        <w:rPr>
          <w:b/>
          <w:bCs/>
          <w:sz w:val="22"/>
        </w:rPr>
        <w:t>Exit Strategy</w:t>
      </w:r>
      <w:r>
        <w:rPr>
          <w:sz w:val="22"/>
        </w:rPr>
        <w:t xml:space="preserve"> – There is a potential for a directors and/or shareholders deadlock in terms of governing G6.  There is also the likelihood that ECC will at some point either want to completely exit or completely control G6.</w:t>
      </w:r>
    </w:p>
    <w:p>
      <w:pPr>
        <w:pStyle w:val="BodyTextIndent2"/>
        <w:ind w:start="720" w:end="0"/>
        <w:rPr/>
      </w:pPr>
      <w:r>
        <w:rPr>
          <w:b/>
          <w:bCs/>
        </w:rPr>
        <w:t>Mitigants</w:t>
      </w:r>
      <w:r>
        <w:rPr/>
        <w:t xml:space="preserve">  - The USA sets out detailed provisions with respect to the transfer and disposition of shares.  These provisions include rights of first refusal, piggyback rights, draw along rights and a buy/sell (shotgun clause).  The most effective of these provisions is clearly the shotgun clause which enables ECC to make an offer to the other shareholders at a set price per share pursuant to which ECC will either sell its interest or buy out the offerees interest.  This will enable ECC to either take complete control or exit the investment.  As ECC is more mobile (in terms of approvals and access to capital) than the municipal corporate shareholders this provision is favourable to ECC.  However, the shotgun clause may not be triggered the earlier of the termination of the Services Agreement and May 1, 2004. </w:t>
      </w:r>
    </w:p>
    <w:p>
      <w:pPr>
        <w:pStyle w:val="BodyTextIndent2"/>
        <w:ind w:start="720" w:end="0"/>
        <w:rPr/>
      </w:pPr>
      <w:r>
        <w:rPr/>
      </w:r>
    </w:p>
    <w:p>
      <w:pPr>
        <w:pStyle w:val="Normal"/>
        <w:numPr>
          <w:ilvl w:val="0"/>
          <w:numId w:val="2"/>
        </w:numPr>
        <w:tabs>
          <w:tab w:val="left" w:pos="720" w:leader="none"/>
        </w:tabs>
        <w:ind w:hanging="360" w:start="720" w:end="0"/>
        <w:rPr>
          <w:sz w:val="22"/>
        </w:rPr>
      </w:pPr>
      <w:r>
        <w:rPr>
          <w:b/>
          <w:bCs/>
          <w:sz w:val="22"/>
        </w:rPr>
        <w:t>Non-Competition</w:t>
      </w:r>
      <w:r>
        <w:rPr>
          <w:sz w:val="22"/>
        </w:rPr>
        <w:t xml:space="preserve"> – During the term of the Services Agreement ECC and its controlled subsidiaries are prevented from providing competitive retail services and from selling retail electricity in Ontario.</w:t>
      </w:r>
    </w:p>
    <w:p>
      <w:pPr>
        <w:pStyle w:val="BodyTextIndent2"/>
        <w:ind w:start="720" w:end="0"/>
        <w:rPr/>
      </w:pPr>
      <w:r>
        <w:rPr>
          <w:b/>
          <w:bCs/>
        </w:rPr>
        <w:t>Mitigants</w:t>
      </w:r>
      <w:r>
        <w:rPr/>
        <w:t xml:space="preserve"> – There are many exceptions to the foregoing, the most important of which allow for: (i) ECC to sell electricity and supply services to any customer with a load over a threshold, (ii) the existence and continuation of current transactions, (iii) Enron Online trades,  (iv) ECC to respond to and execute on bids and RFPs and, (v) the sale of Ontario Electricity Financial Corporation MWs.  The non-competition provisions do not apply to affiliates of ECC which are not controlled by ECC.</w:t>
      </w:r>
    </w:p>
    <w:p>
      <w:pPr>
        <w:pStyle w:val="BodyTextIndent2"/>
        <w:ind w:firstLine="360" w:start="0" w:end="0"/>
        <w:rPr>
          <w:b/>
          <w:bCs/>
        </w:rPr>
      </w:pPr>
      <w:r>
        <w:rPr>
          <w:b/>
          <w:bCs/>
        </w:rPr>
      </w:r>
    </w:p>
    <w:p>
      <w:pPr>
        <w:pStyle w:val="BodyTextIndent2"/>
        <w:ind w:hanging="360" w:start="720" w:end="0"/>
        <w:rPr/>
      </w:pPr>
      <w:r>
        <w:rPr/>
        <w:t>(g)</w:t>
        <w:tab/>
      </w:r>
      <w:r>
        <w:rPr>
          <w:b/>
          <w:bCs/>
        </w:rPr>
        <w:t>Tax</w:t>
      </w:r>
      <w:r>
        <w:rPr/>
        <w:t xml:space="preserve"> – As a separate corporate entity any operating losses will be trapped at the G6 level and will not flow to ECC.</w:t>
      </w:r>
    </w:p>
    <w:p>
      <w:pPr>
        <w:pStyle w:val="BodyTextIndent2"/>
        <w:ind w:hanging="360" w:start="720" w:end="0"/>
        <w:rPr/>
      </w:pPr>
      <w:r>
        <w:rPr/>
        <w:tab/>
      </w:r>
      <w:r>
        <w:rPr>
          <w:b/>
          <w:bCs/>
        </w:rPr>
        <w:t>Mitigants</w:t>
      </w:r>
      <w:r>
        <w:rPr/>
        <w:t xml:space="preserve"> – The balance of limited liability protection versus efficient use of tax losses favoured the proposed structure, which includes limited liability protection.  Further, the MEU shareholders were very concerned about limited liability protection and did not want to set up a complicated, albeit tax efficient, structure.</w:t>
      </w:r>
    </w:p>
    <w:p>
      <w:pPr>
        <w:pStyle w:val="BodyTextIndent2"/>
        <w:ind w:start="0" w:end="0"/>
        <w:rPr/>
      </w:pPr>
      <w:r>
        <w:rPr/>
      </w:r>
    </w:p>
    <w:p>
      <w:pPr>
        <w:pStyle w:val="Normal"/>
        <w:rPr>
          <w:sz w:val="22"/>
        </w:rPr>
      </w:pPr>
      <w:r>
        <w:rPr>
          <w:sz w:val="22"/>
        </w:rPr>
      </w:r>
    </w:p>
    <w:sectPr>
      <w:headerReference w:type="default" r:id="rId3"/>
      <w:headerReference w:type="first" r:id="rId4"/>
      <w:footerReference w:type="default" r:id="rId5"/>
      <w:footerReference w:type="first" r:id="rId6"/>
      <w:type w:val="nextPage"/>
      <w:pgSz w:w="12240" w:h="15840"/>
      <w:pgMar w:left="1800" w:right="1800" w:gutter="0" w:header="720" w:top="1008"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/mnt/main-storage/datasets/enron-docs/doc/RiskMemo.doc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u w:val="single"/>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outlineLvl w:val="3"/>
    </w:pPr>
    <w:rPr>
      <w:b/>
      <w:bCs/>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next w:val="Normal"/>
    <w:qFormat/>
    <w:pPr>
      <w:pBdr>
        <w:top w:val="double" w:sz="12" w:space="1" w:color="000000"/>
      </w:pBdr>
      <w:spacing w:before="120" w:after="0"/>
      <w:jc w:val="center"/>
    </w:pPr>
    <w:rPr>
      <w:b/>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jc w:val="start"/>
    </w:pPr>
    <w:rPr>
      <w:sz w:val="20"/>
    </w:rPr>
  </w:style>
  <w:style w:type="paragraph" w:styleId="BodyTextIndent">
    <w:name w:val="Body Text Indent"/>
    <w:basedOn w:val="Normal"/>
    <w:pPr>
      <w:ind w:hanging="0" w:start="1440" w:end="0"/>
    </w:pPr>
    <w:rPr>
      <w:sz w:val="22"/>
    </w:rPr>
  </w:style>
  <w:style w:type="paragraph" w:styleId="BodyTextIndent2">
    <w:name w:val="Body Text Indent 2"/>
    <w:basedOn w:val="Normal"/>
    <w:qFormat/>
    <w:pPr>
      <w:ind w:hanging="0" w:start="108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2001-03-16T18:09:00Z</dcterms:created>
  <dc:creator>lnoske</dc:creator>
  <dc:description/>
  <dc:language>en-CA</dc:language>
  <cp:lastModifiedBy>lassaf</cp:lastModifiedBy>
  <cp:lastPrinted>2001-03-21T11:28:00Z</cp:lastPrinted>
  <dcterms:modified xsi:type="dcterms:W3CDTF">2001-03-21T16:39:00Z</dcterms:modified>
  <cp:revision>58</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