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drawing>
          <wp:inline distT="0" distB="0" distL="0" distR="0">
            <wp:extent cx="995680" cy="9899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95680" cy="989965"/>
                    </a:xfrm>
                    <a:prstGeom prst="rect">
                      <a:avLst/>
                    </a:prstGeom>
                    <a:noFill/>
                  </pic:spPr>
                </pic:pic>
              </a:graphicData>
            </a:graphic>
          </wp:inline>
        </w:drawing>
      </w:r>
    </w:p>
    <w:p>
      <w:pPr>
        <w:pStyle w:val="Heading"/>
        <w:rPr/>
      </w:pPr>
      <w:r>
        <w:rPr/>
      </w:r>
    </w:p>
    <w:tbl>
      <w:tblPr>
        <w:tblW w:w="14488" w:type="dxa"/>
        <w:jc w:val="start"/>
        <w:tblInd w:w="200" w:type="dxa"/>
        <w:tblLayout w:type="fixed"/>
        <w:tblCellMar>
          <w:top w:w="0" w:type="dxa"/>
          <w:start w:w="115" w:type="dxa"/>
          <w:bottom w:w="0" w:type="dxa"/>
          <w:end w:w="115" w:type="dxa"/>
        </w:tblCellMar>
      </w:tblPr>
      <w:tblGrid>
        <w:gridCol w:w="708"/>
        <w:gridCol w:w="6045"/>
        <w:gridCol w:w="2155"/>
        <w:gridCol w:w="5580"/>
      </w:tblGrid>
      <w:tr>
        <w:trPr>
          <w:trHeight w:val="300" w:hRule="exact"/>
        </w:trPr>
        <w:tc>
          <w:tcPr>
            <w:tcW w:w="708" w:type="dxa"/>
            <w:tcBorders/>
          </w:tcPr>
          <w:p>
            <w:pPr>
              <w:pStyle w:val="Normal"/>
              <w:ind w:start="-180" w:end="0"/>
              <w:jc w:val="end"/>
              <w:rPr>
                <w:sz w:val="16"/>
              </w:rPr>
            </w:pPr>
            <w:r>
              <w:rPr>
                <w:sz w:val="16"/>
              </w:rPr>
              <w:t>To:</w:t>
            </w:r>
          </w:p>
        </w:tc>
        <w:tc>
          <w:tcPr>
            <w:tcW w:w="6045" w:type="dxa"/>
            <w:tcBorders/>
          </w:tcPr>
          <w:p>
            <w:pPr>
              <w:pStyle w:val="To"/>
              <w:rPr/>
            </w:pPr>
            <w:r>
              <w:rPr/>
              <w:t>Mark E. Haedicke</w:t>
            </w:r>
          </w:p>
        </w:tc>
        <w:tc>
          <w:tcPr>
            <w:tcW w:w="2155" w:type="dxa"/>
            <w:tcBorders/>
          </w:tcPr>
          <w:p>
            <w:pPr>
              <w:pStyle w:val="Normal"/>
              <w:snapToGrid w:val="false"/>
              <w:ind w:start="-180" w:end="0"/>
              <w:rPr/>
            </w:pPr>
            <w:r>
              <w:rPr/>
            </w:r>
          </w:p>
        </w:tc>
        <w:tc>
          <w:tcPr>
            <w:tcW w:w="5580" w:type="dxa"/>
            <w:tcBorders/>
          </w:tcPr>
          <w:p>
            <w:pPr>
              <w:pStyle w:val="Subject"/>
              <w:tabs>
                <w:tab w:val="left" w:pos="540" w:leader="none"/>
              </w:tabs>
              <w:ind w:firstLine="198" w:start="-198" w:end="0"/>
              <w:rPr/>
            </w:pPr>
            <w:r>
              <w:rPr/>
              <w:t>PRIVILEGED &amp; CONFIDENTIAL</w:t>
            </w:r>
          </w:p>
        </w:tc>
      </w:tr>
      <w:tr>
        <w:trPr>
          <w:trHeight w:val="108"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2155" w:type="dxa"/>
            <w:tcBorders/>
          </w:tcPr>
          <w:p>
            <w:pPr>
              <w:pStyle w:val="Normal"/>
              <w:snapToGrid w:val="false"/>
              <w:ind w:start="-180" w:end="0"/>
              <w:rPr>
                <w:sz w:val="18"/>
              </w:rPr>
            </w:pPr>
            <w:r>
              <w:rPr>
                <w:sz w:val="18"/>
              </w:rPr>
            </w:r>
          </w:p>
        </w:tc>
        <w:tc>
          <w:tcPr>
            <w:tcW w:w="5580" w:type="dxa"/>
            <w:tcBorders/>
          </w:tcPr>
          <w:p>
            <w:pPr>
              <w:pStyle w:val="Normal"/>
              <w:snapToGrid w:val="false"/>
              <w:rPr>
                <w:sz w:val="18"/>
              </w:rPr>
            </w:pPr>
            <w:r>
              <w:rPr>
                <w:sz w:val="18"/>
              </w:rPr>
            </w:r>
          </w:p>
        </w:tc>
      </w:tr>
      <w:tr>
        <w:trPr>
          <w:trHeight w:val="300" w:hRule="exact"/>
        </w:trPr>
        <w:tc>
          <w:tcPr>
            <w:tcW w:w="708" w:type="dxa"/>
            <w:tcBorders/>
          </w:tcPr>
          <w:p>
            <w:pPr>
              <w:pStyle w:val="Normal"/>
              <w:ind w:start="-180" w:end="0"/>
              <w:jc w:val="end"/>
              <w:rPr>
                <w:sz w:val="16"/>
              </w:rPr>
            </w:pPr>
            <w:r>
              <w:rPr>
                <w:sz w:val="16"/>
              </w:rPr>
              <w:t>From:</w:t>
            </w:r>
          </w:p>
        </w:tc>
        <w:tc>
          <w:tcPr>
            <w:tcW w:w="6045" w:type="dxa"/>
            <w:tcBorders/>
          </w:tcPr>
          <w:p>
            <w:pPr>
              <w:pStyle w:val="From"/>
              <w:rPr/>
            </w:pPr>
            <w:r>
              <w:rPr/>
              <w:t>Alan B. Aronowitz and Michael A. Robison</w:t>
            </w:r>
          </w:p>
        </w:tc>
        <w:tc>
          <w:tcPr>
            <w:tcW w:w="2155" w:type="dxa"/>
            <w:tcBorders/>
          </w:tcPr>
          <w:p>
            <w:pPr>
              <w:pStyle w:val="Normal"/>
              <w:ind w:hanging="2227" w:start="2047" w:end="-1022"/>
              <w:jc w:val="center"/>
              <w:rPr>
                <w:sz w:val="16"/>
              </w:rPr>
            </w:pPr>
            <w:r>
              <w:rPr>
                <w:sz w:val="16"/>
              </w:rPr>
              <w:t>Department:</w:t>
            </w:r>
          </w:p>
        </w:tc>
        <w:tc>
          <w:tcPr>
            <w:tcW w:w="5580" w:type="dxa"/>
            <w:tcBorders/>
          </w:tcPr>
          <w:p>
            <w:pPr>
              <w:pStyle w:val="Department"/>
              <w:rPr/>
            </w:pPr>
            <w:bookmarkStart w:id="0" w:name="From"/>
            <w:bookmarkEnd w:id="0"/>
            <w:r>
              <w:rPr/>
              <w:t>Legal Department</w:t>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2155" w:type="dxa"/>
            <w:tcBorders/>
          </w:tcPr>
          <w:p>
            <w:pPr>
              <w:pStyle w:val="Normal"/>
              <w:snapToGrid w:val="false"/>
              <w:ind w:start="-180" w:end="0"/>
              <w:rPr>
                <w:sz w:val="18"/>
              </w:rPr>
            </w:pPr>
            <w:r>
              <w:rPr>
                <w:sz w:val="18"/>
              </w:rPr>
            </w:r>
          </w:p>
        </w:tc>
        <w:tc>
          <w:tcPr>
            <w:tcW w:w="5580" w:type="dxa"/>
            <w:tcBorders/>
          </w:tcPr>
          <w:p>
            <w:pPr>
              <w:pStyle w:val="Normal"/>
              <w:snapToGrid w:val="false"/>
              <w:rPr>
                <w:sz w:val="18"/>
              </w:rPr>
            </w:pPr>
            <w:r>
              <w:rPr>
                <w:sz w:val="18"/>
              </w:rPr>
            </w:r>
          </w:p>
        </w:tc>
      </w:tr>
      <w:tr>
        <w:trPr>
          <w:trHeight w:val="450" w:hRule="exact"/>
        </w:trPr>
        <w:tc>
          <w:tcPr>
            <w:tcW w:w="708" w:type="dxa"/>
            <w:tcBorders/>
          </w:tcPr>
          <w:p>
            <w:pPr>
              <w:pStyle w:val="Normal"/>
              <w:ind w:start="-180" w:end="0"/>
              <w:jc w:val="end"/>
              <w:rPr>
                <w:sz w:val="16"/>
              </w:rPr>
            </w:pPr>
            <w:r>
              <w:rPr>
                <w:sz w:val="16"/>
              </w:rPr>
              <w:t>Subject:</w:t>
            </w:r>
          </w:p>
        </w:tc>
        <w:tc>
          <w:tcPr>
            <w:tcW w:w="6045" w:type="dxa"/>
            <w:tcBorders/>
          </w:tcPr>
          <w:p>
            <w:pPr>
              <w:pStyle w:val="Subject"/>
              <w:rPr/>
            </w:pPr>
            <w:r>
              <w:rPr/>
              <w:t>Potential Legal Risks Associated with Seminole Transportation &amp; Gathering, Inc. (“Seminole US”) and Seminole Canada Energy</w:t>
            </w:r>
          </w:p>
        </w:tc>
        <w:tc>
          <w:tcPr>
            <w:tcW w:w="2155" w:type="dxa"/>
            <w:tcBorders/>
          </w:tcPr>
          <w:p>
            <w:pPr>
              <w:pStyle w:val="Normal"/>
              <w:ind w:start="-180" w:end="0"/>
              <w:jc w:val="end"/>
              <w:rPr>
                <w:sz w:val="16"/>
              </w:rPr>
            </w:pPr>
            <w:r>
              <w:rPr>
                <w:sz w:val="16"/>
              </w:rPr>
              <w:t>Date:</w:t>
            </w:r>
          </w:p>
        </w:tc>
        <w:tc>
          <w:tcPr>
            <w:tcW w:w="5580" w:type="dxa"/>
            <w:tcBorders/>
          </w:tcPr>
          <w:p>
            <w:pPr>
              <w:pStyle w:val="Date"/>
              <w:rPr/>
            </w:pPr>
            <w:r>
              <w:rPr/>
              <w:t>March 23, 2001</w:t>
            </w:r>
          </w:p>
        </w:tc>
      </w:tr>
      <w:tr>
        <w:trPr>
          <w:trHeight w:val="600" w:hRule="exact"/>
        </w:trPr>
        <w:tc>
          <w:tcPr>
            <w:tcW w:w="708" w:type="dxa"/>
            <w:tcBorders>
              <w:bottom w:val="single" w:sz="12" w:space="0" w:color="000000"/>
            </w:tcBorders>
          </w:tcPr>
          <w:p>
            <w:pPr>
              <w:pStyle w:val="Normal"/>
              <w:snapToGrid w:val="false"/>
              <w:ind w:start="-180" w:end="0"/>
              <w:jc w:val="end"/>
              <w:rPr>
                <w:sz w:val="16"/>
              </w:rPr>
            </w:pPr>
            <w:r>
              <w:rPr>
                <w:sz w:val="16"/>
              </w:rPr>
            </w:r>
          </w:p>
        </w:tc>
        <w:tc>
          <w:tcPr>
            <w:tcW w:w="6045" w:type="dxa"/>
            <w:tcBorders>
              <w:bottom w:val="single" w:sz="12" w:space="0" w:color="000000"/>
            </w:tcBorders>
          </w:tcPr>
          <w:p>
            <w:pPr>
              <w:pStyle w:val="Subject"/>
              <w:rPr/>
            </w:pPr>
            <w:r>
              <w:rPr/>
              <w:t>Company (“Seminole Canada”) Purchase/Sale Agreements and Swaps</w:t>
            </w:r>
          </w:p>
        </w:tc>
        <w:tc>
          <w:tcPr>
            <w:tcW w:w="2155" w:type="dxa"/>
            <w:tcBorders>
              <w:bottom w:val="single" w:sz="12" w:space="0" w:color="000000"/>
            </w:tcBorders>
          </w:tcPr>
          <w:p>
            <w:pPr>
              <w:pStyle w:val="Normal"/>
              <w:snapToGrid w:val="false"/>
              <w:ind w:start="-180" w:end="0"/>
              <w:jc w:val="end"/>
              <w:rPr>
                <w:sz w:val="16"/>
              </w:rPr>
            </w:pPr>
            <w:r>
              <w:rPr>
                <w:sz w:val="16"/>
              </w:rPr>
            </w:r>
          </w:p>
        </w:tc>
        <w:tc>
          <w:tcPr>
            <w:tcW w:w="5580" w:type="dxa"/>
            <w:tcBorders>
              <w:bottom w:val="single" w:sz="12" w:space="0" w:color="000000"/>
            </w:tcBorders>
          </w:tcPr>
          <w:p>
            <w:pPr>
              <w:pStyle w:val="Date"/>
              <w:snapToGrid w:val="false"/>
              <w:rPr>
                <w:sz w:val="16"/>
              </w:rPr>
            </w:pPr>
            <w:r>
              <w:rPr>
                <w:sz w:val="16"/>
              </w:rPr>
            </w:r>
          </w:p>
        </w:tc>
      </w:tr>
    </w:tbl>
    <w:p>
      <w:pPr>
        <w:pStyle w:val="Body"/>
        <w:rPr/>
      </w:pPr>
      <w:r>
        <w:rPr/>
      </w:r>
      <w:bookmarkStart w:id="1" w:name="StartOfMemo"/>
      <w:bookmarkStart w:id="2" w:name="StartOfMemo"/>
      <w:bookmarkEnd w:id="2"/>
    </w:p>
    <w:p>
      <w:pPr>
        <w:pStyle w:val="Body"/>
        <w:ind w:hanging="162" w:end="0"/>
        <w:jc w:val="both"/>
        <w:rPr/>
      </w:pPr>
      <w:r>
        <w:rPr/>
        <w:tab/>
        <w:t>The following matrix presents our analysis of the potential legal risks of Enron Reserve Acquisition Corp. (“ERAC”) and Enron North America Corp.  (“ENA”) associated with the proposed execution of agreements related to the purchase by ERAC in March 2001 of 400,000 barrels of crude oil owned by Seminole US and used as linefill (“Linefill”) in its private pipelines in Oklahoma, Louisiana and Texas and 300,000 barrels of crude owned by Seminole Canada in a common carrier pipeline in the Canadian provinces of Alberta, British Columbia and Saskatchewan.  The value of the ERAC purchase transaction is US$17,500,000  (700,000 bbls X $25/bbl).  On April 1, 2002 ERAC will sell 400,000 bbls to Seminole US and 300,000 bbls to Seminole Canada at a price equal to the settlement price per barrel of the last scheduled trading day of the NYMEX WTI crude oil futures contract for April 2002.  In addition, ENA will enter into financial Swap agreements in March 2001 with Seminole US and Seminole Canada under which ENA will be the Floating Price Payor at a price equal to the settlement price for the last scheduled Trading Day of the NYMEX Light Sweet Crude Futures Contract for April 2002 and for volumes of 400,000 bbls and 300,000 bbls respectively and Seminole US and Seminole Canada will be the Fixed Price Payor at a price of US$27.50 per barrel times their respective volumes of 400,000 bbls. and 300,000 bbls.</w:t>
      </w:r>
    </w:p>
    <w:p>
      <w:pPr>
        <w:pStyle w:val="Body"/>
        <w:rPr/>
      </w:pPr>
      <w:r>
        <w:rPr/>
      </w:r>
    </w:p>
    <w:p>
      <w:pPr>
        <w:pStyle w:val="Body"/>
        <w:ind w:firstLine="648" w:end="0"/>
        <w:rPr/>
      </w:pPr>
      <w:r>
        <w:rPr/>
        <w:t>Legal analysis of each of the following contingencies is as follows:</w:t>
      </w:r>
    </w:p>
    <w:p>
      <w:pPr>
        <w:pStyle w:val="Body"/>
        <w:ind w:firstLine="720" w:start="0" w:end="0"/>
        <w:rPr/>
      </w:pPr>
      <w:r>
        <w:rPr/>
      </w:r>
    </w:p>
    <w:tbl>
      <w:tblPr>
        <w:tblW w:w="12348" w:type="dxa"/>
        <w:jc w:val="start"/>
        <w:tblInd w:w="0" w:type="dxa"/>
        <w:tblLayout w:type="fixed"/>
        <w:tblCellMar>
          <w:top w:w="0" w:type="dxa"/>
          <w:start w:w="108" w:type="dxa"/>
          <w:bottom w:w="0" w:type="dxa"/>
          <w:end w:w="108" w:type="dxa"/>
        </w:tblCellMar>
      </w:tblPr>
      <w:tblGrid>
        <w:gridCol w:w="5973"/>
        <w:gridCol w:w="1605"/>
        <w:gridCol w:w="76"/>
        <w:gridCol w:w="4694"/>
      </w:tblGrid>
      <w:tr>
        <w:trPr/>
        <w:tc>
          <w:tcPr>
            <w:tcW w:w="5973" w:type="dxa"/>
            <w:tcBorders/>
          </w:tcPr>
          <w:p>
            <w:pPr>
              <w:pStyle w:val="Body"/>
              <w:snapToGrid w:val="false"/>
              <w:ind w:start="0" w:end="0"/>
              <w:rPr>
                <w:b/>
                <w:i/>
                <w:i/>
              </w:rPr>
            </w:pPr>
            <w:r>
              <w:rPr>
                <w:b/>
                <w:i/>
              </w:rPr>
            </w:r>
          </w:p>
          <w:p>
            <w:pPr>
              <w:pStyle w:val="Body"/>
              <w:tabs>
                <w:tab w:val="left" w:pos="1440" w:leader="none"/>
              </w:tabs>
              <w:ind w:start="0" w:end="0"/>
              <w:rPr/>
            </w:pPr>
            <w:r>
              <w:rPr>
                <w:rFonts w:eastAsia="Arial"/>
                <w:b/>
                <w:i/>
              </w:rPr>
              <w:t xml:space="preserve">                                                  </w:t>
            </w:r>
            <w:r>
              <w:rPr>
                <w:rFonts w:eastAsia="Arial"/>
                <w:b/>
                <w:i/>
                <w:u w:val="single"/>
              </w:rPr>
              <w:t xml:space="preserve"> </w:t>
            </w:r>
            <w:r>
              <w:rPr>
                <w:b/>
                <w:i/>
                <w:u w:val="single"/>
              </w:rPr>
              <w:t>Risk</w:t>
            </w:r>
          </w:p>
        </w:tc>
        <w:tc>
          <w:tcPr>
            <w:tcW w:w="1605" w:type="dxa"/>
            <w:tcBorders/>
          </w:tcPr>
          <w:p>
            <w:pPr>
              <w:pStyle w:val="Body"/>
              <w:snapToGrid w:val="false"/>
              <w:ind w:start="0" w:end="0"/>
              <w:rPr>
                <w:b/>
                <w:i/>
                <w:i/>
                <w:u w:val="single"/>
              </w:rPr>
            </w:pPr>
            <w:r>
              <w:rPr>
                <w:b/>
                <w:i/>
                <w:u w:val="single"/>
              </w:rPr>
            </w:r>
          </w:p>
          <w:p>
            <w:pPr>
              <w:pStyle w:val="Body"/>
              <w:ind w:start="0" w:end="0"/>
              <w:rPr/>
            </w:pPr>
            <w:r>
              <w:rPr>
                <w:rFonts w:eastAsia="Arial"/>
                <w:b/>
                <w:i/>
              </w:rPr>
              <w:t xml:space="preserve">  </w:t>
            </w:r>
            <w:r>
              <w:rPr>
                <w:rFonts w:eastAsia="Arial"/>
                <w:b/>
                <w:i/>
                <w:u w:val="single"/>
              </w:rPr>
              <w:t xml:space="preserve"> </w:t>
            </w:r>
            <w:r>
              <w:rPr>
                <w:b/>
                <w:i/>
                <w:u w:val="single"/>
              </w:rPr>
              <w:t>Exposure</w:t>
            </w:r>
          </w:p>
        </w:tc>
        <w:tc>
          <w:tcPr>
            <w:tcW w:w="4770" w:type="dxa"/>
            <w:gridSpan w:val="2"/>
            <w:tcBorders/>
          </w:tcPr>
          <w:p>
            <w:pPr>
              <w:pStyle w:val="Body"/>
              <w:snapToGrid w:val="false"/>
              <w:ind w:start="0" w:end="0"/>
              <w:rPr>
                <w:b/>
                <w:i/>
                <w:i/>
                <w:u w:val="single"/>
              </w:rPr>
            </w:pPr>
            <w:r>
              <w:rPr>
                <w:b/>
                <w:i/>
                <w:u w:val="single"/>
              </w:rPr>
            </w:r>
          </w:p>
          <w:p>
            <w:pPr>
              <w:pStyle w:val="Body"/>
              <w:ind w:start="0" w:end="0"/>
              <w:rPr/>
            </w:pPr>
            <w:r>
              <w:rPr>
                <w:rFonts w:eastAsia="Arial"/>
                <w:b/>
                <w:i/>
              </w:rPr>
              <w:t xml:space="preserve">                           </w:t>
            </w:r>
            <w:r>
              <w:rPr>
                <w:rFonts w:eastAsia="Arial"/>
                <w:b/>
                <w:i/>
                <w:u w:val="single"/>
              </w:rPr>
              <w:t xml:space="preserve"> </w:t>
            </w:r>
            <w:r>
              <w:rPr>
                <w:b/>
                <w:i/>
                <w:u w:val="single"/>
              </w:rPr>
              <w:t>Mitigating Factors</w:t>
            </w:r>
          </w:p>
        </w:tc>
      </w:tr>
      <w:tr>
        <w:trPr/>
        <w:tc>
          <w:tcPr>
            <w:tcW w:w="5973" w:type="dxa"/>
            <w:tcBorders/>
          </w:tcPr>
          <w:p>
            <w:pPr>
              <w:pStyle w:val="Body"/>
              <w:snapToGrid w:val="false"/>
              <w:ind w:start="0" w:end="0"/>
              <w:rPr>
                <w:b/>
                <w:i/>
                <w:i/>
                <w:u w:val="single"/>
              </w:rPr>
            </w:pPr>
            <w:r>
              <w:rPr>
                <w:b/>
                <w:i/>
                <w:u w:val="single"/>
              </w:rPr>
            </w:r>
          </w:p>
        </w:tc>
        <w:tc>
          <w:tcPr>
            <w:tcW w:w="1605" w:type="dxa"/>
            <w:tcBorders/>
          </w:tcPr>
          <w:p>
            <w:pPr>
              <w:pStyle w:val="Body"/>
              <w:snapToGrid w:val="false"/>
              <w:ind w:start="0" w:end="0"/>
              <w:rPr>
                <w:b/>
              </w:rPr>
            </w:pPr>
            <w:r>
              <w:rPr>
                <w:b/>
              </w:rPr>
            </w:r>
          </w:p>
        </w:tc>
        <w:tc>
          <w:tcPr>
            <w:tcW w:w="4770" w:type="dxa"/>
            <w:gridSpan w:val="2"/>
            <w:tcBorders/>
          </w:tcPr>
          <w:p>
            <w:pPr>
              <w:pStyle w:val="Body"/>
              <w:snapToGrid w:val="false"/>
              <w:ind w:start="0" w:end="0"/>
              <w:rPr>
                <w:b/>
              </w:rPr>
            </w:pPr>
            <w:r>
              <w:rPr>
                <w:b/>
              </w:rPr>
            </w:r>
          </w:p>
        </w:tc>
      </w:tr>
      <w:tr>
        <w:trPr/>
        <w:tc>
          <w:tcPr>
            <w:tcW w:w="5973" w:type="dxa"/>
            <w:tcBorders/>
          </w:tcPr>
          <w:p>
            <w:pPr>
              <w:pStyle w:val="Body"/>
              <w:numPr>
                <w:ilvl w:val="0"/>
                <w:numId w:val="2"/>
              </w:numPr>
              <w:tabs>
                <w:tab w:val="left" w:pos="1440" w:leader="none"/>
                <w:tab w:val="left" w:pos="1800" w:leader="none"/>
              </w:tabs>
              <w:ind w:hanging="360" w:start="1440" w:end="0"/>
              <w:rPr>
                <w:i/>
                <w:i/>
              </w:rPr>
            </w:pPr>
            <w:r>
              <w:rPr>
                <w:i/>
              </w:rPr>
              <w:t xml:space="preserve">One or both Seminole entities breach agreement to purchase crude in April 2002. </w:t>
            </w:r>
          </w:p>
          <w:p>
            <w:pPr>
              <w:pStyle w:val="Body"/>
              <w:tabs>
                <w:tab w:val="left" w:pos="1800" w:leader="none"/>
              </w:tabs>
              <w:ind w:start="1080" w:end="0"/>
              <w:rPr>
                <w:i/>
                <w:i/>
              </w:rPr>
            </w:pPr>
            <w:r>
              <w:rPr>
                <w:i/>
              </w:rPr>
            </w:r>
          </w:p>
        </w:tc>
        <w:tc>
          <w:tcPr>
            <w:tcW w:w="1605" w:type="dxa"/>
            <w:tcBorders/>
          </w:tcPr>
          <w:p>
            <w:pPr>
              <w:pStyle w:val="Body"/>
              <w:ind w:start="0" w:end="0"/>
              <w:jc w:val="center"/>
              <w:rPr>
                <w:bCs/>
              </w:rPr>
            </w:pPr>
            <w:r>
              <w:rPr>
                <w:bCs/>
              </w:rPr>
              <w:t>2</w:t>
            </w:r>
          </w:p>
        </w:tc>
        <w:tc>
          <w:tcPr>
            <w:tcW w:w="4770" w:type="dxa"/>
            <w:gridSpan w:val="2"/>
            <w:tcBorders/>
          </w:tcPr>
          <w:p>
            <w:pPr>
              <w:pStyle w:val="Body"/>
              <w:numPr>
                <w:ilvl w:val="0"/>
                <w:numId w:val="2"/>
              </w:numPr>
              <w:jc w:val="both"/>
              <w:rPr>
                <w:bCs/>
              </w:rPr>
            </w:pPr>
            <w:r>
              <w:rPr>
                <w:bCs/>
              </w:rPr>
              <w:t xml:space="preserve">ERAC can repossess the crude, sell at market prices and seek cover damages from Seminole.  ERAC is obtaining acknowledgements of its ownership of the crude from both the Seminole pipeline and the common carrier pipeline.  However, any pipeline charges of the common carrier pipeline will be senior to the rights of ERAC to the crude.  Such charges should be non-material and would have to be satisfied and recouped from the Seminole entities. </w:t>
            </w:r>
          </w:p>
          <w:p>
            <w:pPr>
              <w:pStyle w:val="Body"/>
              <w:ind w:start="360" w:end="0"/>
              <w:rPr>
                <w:bCs/>
              </w:rPr>
            </w:pPr>
            <w:r>
              <w:rPr>
                <w:bCs/>
              </w:rPr>
            </w:r>
          </w:p>
        </w:tc>
      </w:tr>
      <w:tr>
        <w:trPr/>
        <w:tc>
          <w:tcPr>
            <w:tcW w:w="5973" w:type="dxa"/>
            <w:tcBorders/>
          </w:tcPr>
          <w:p>
            <w:pPr>
              <w:pStyle w:val="Body"/>
              <w:numPr>
                <w:ilvl w:val="0"/>
                <w:numId w:val="2"/>
              </w:numPr>
              <w:tabs>
                <w:tab w:val="left" w:pos="1440" w:leader="none"/>
                <w:tab w:val="left" w:pos="1800" w:leader="none"/>
              </w:tabs>
              <w:ind w:hanging="360" w:start="1440" w:end="0"/>
              <w:rPr>
                <w:i/>
                <w:i/>
              </w:rPr>
            </w:pPr>
            <w:r>
              <w:rPr>
                <w:i/>
              </w:rPr>
              <w:t>One or both Seminole entities refuse to give ERAC possession of the crude.</w:t>
            </w:r>
          </w:p>
          <w:p>
            <w:pPr>
              <w:pStyle w:val="Body"/>
              <w:tabs>
                <w:tab w:val="left" w:pos="1800" w:leader="none"/>
              </w:tabs>
              <w:ind w:start="1080" w:end="0"/>
              <w:rPr>
                <w:i/>
                <w:i/>
              </w:rPr>
            </w:pPr>
            <w:r>
              <w:rPr>
                <w:i/>
              </w:rPr>
            </w:r>
          </w:p>
        </w:tc>
        <w:tc>
          <w:tcPr>
            <w:tcW w:w="1605" w:type="dxa"/>
            <w:tcBorders/>
          </w:tcPr>
          <w:p>
            <w:pPr>
              <w:pStyle w:val="Body"/>
              <w:ind w:start="0" w:end="0"/>
              <w:jc w:val="center"/>
              <w:rPr>
                <w:bCs/>
              </w:rPr>
            </w:pPr>
            <w:r>
              <w:rPr>
                <w:bCs/>
              </w:rPr>
              <w:t>1.5</w:t>
            </w:r>
          </w:p>
        </w:tc>
        <w:tc>
          <w:tcPr>
            <w:tcW w:w="4770" w:type="dxa"/>
            <w:gridSpan w:val="2"/>
            <w:tcBorders/>
          </w:tcPr>
          <w:p>
            <w:pPr>
              <w:pStyle w:val="Body"/>
              <w:numPr>
                <w:ilvl w:val="0"/>
                <w:numId w:val="2"/>
              </w:numPr>
              <w:jc w:val="both"/>
              <w:rPr>
                <w:bCs/>
              </w:rPr>
            </w:pPr>
            <w:r>
              <w:rPr>
                <w:bCs/>
              </w:rPr>
              <w:t>ERAC can file a replevin action to obtain possession of its crude.</w:t>
            </w:r>
          </w:p>
        </w:tc>
      </w:tr>
      <w:tr>
        <w:trPr/>
        <w:tc>
          <w:tcPr>
            <w:tcW w:w="5973" w:type="dxa"/>
            <w:tcBorders/>
          </w:tcPr>
          <w:p>
            <w:pPr>
              <w:pStyle w:val="Body"/>
              <w:numPr>
                <w:ilvl w:val="0"/>
                <w:numId w:val="2"/>
              </w:numPr>
              <w:tabs>
                <w:tab w:val="left" w:pos="1440" w:leader="none"/>
                <w:tab w:val="left" w:pos="1800" w:leader="none"/>
              </w:tabs>
              <w:ind w:hanging="360" w:start="1440" w:end="0"/>
              <w:rPr>
                <w:i/>
                <w:i/>
              </w:rPr>
            </w:pPr>
            <w:r>
              <w:rPr>
                <w:i/>
              </w:rPr>
              <w:t xml:space="preserve">ERAC transactions deemed a loan instead of a true sale. </w:t>
            </w:r>
          </w:p>
          <w:p>
            <w:pPr>
              <w:pStyle w:val="Body"/>
              <w:tabs>
                <w:tab w:val="left" w:pos="1800" w:leader="none"/>
              </w:tabs>
              <w:ind w:start="1080" w:end="0"/>
              <w:rPr>
                <w:i/>
                <w:i/>
              </w:rPr>
            </w:pPr>
            <w:r>
              <w:rPr>
                <w:i/>
              </w:rPr>
            </w:r>
          </w:p>
        </w:tc>
        <w:tc>
          <w:tcPr>
            <w:tcW w:w="1605" w:type="dxa"/>
            <w:tcBorders/>
          </w:tcPr>
          <w:p>
            <w:pPr>
              <w:pStyle w:val="Body"/>
              <w:ind w:start="0" w:end="0"/>
              <w:jc w:val="center"/>
              <w:rPr>
                <w:bCs/>
              </w:rPr>
            </w:pPr>
            <w:r>
              <w:rPr>
                <w:bCs/>
              </w:rPr>
              <w:t>3</w:t>
            </w:r>
          </w:p>
        </w:tc>
        <w:tc>
          <w:tcPr>
            <w:tcW w:w="4770" w:type="dxa"/>
            <w:gridSpan w:val="2"/>
            <w:tcBorders/>
          </w:tcPr>
          <w:p>
            <w:pPr>
              <w:pStyle w:val="Body"/>
              <w:numPr>
                <w:ilvl w:val="0"/>
                <w:numId w:val="2"/>
              </w:numPr>
              <w:jc w:val="both"/>
              <w:rPr>
                <w:bCs/>
              </w:rPr>
            </w:pPr>
            <w:r>
              <w:rPr>
                <w:bCs/>
              </w:rPr>
              <w:t>ERAC has obtained security agreements from both Seminole entitles covering the Linefill and has made the requisite filings in the US and Canada to perfect a security interest in the Linefill. ERAC has also run lien searches in both the US jurisdictions and in the Canadian provinces where the collateral is located and has determined that there are no liens against the collateral in Canada and that only the Bank of Oklahoma has liens against the collateral in the US. The Bank has agreed to execute a release of lien in favor of ERAC with respect to 740,000 barrels of crude inventories.</w:t>
            </w:r>
          </w:p>
          <w:p>
            <w:pPr>
              <w:pStyle w:val="Body"/>
              <w:ind w:start="360" w:end="0"/>
              <w:rPr>
                <w:bCs/>
              </w:rPr>
            </w:pPr>
            <w:r>
              <w:rPr>
                <w:bCs/>
              </w:rPr>
            </w:r>
          </w:p>
          <w:p>
            <w:pPr>
              <w:pStyle w:val="Body"/>
              <w:ind w:start="360" w:end="0"/>
              <w:rPr>
                <w:bCs/>
              </w:rPr>
            </w:pPr>
            <w:r>
              <w:rPr>
                <w:bCs/>
              </w:rPr>
            </w:r>
          </w:p>
        </w:tc>
      </w:tr>
      <w:tr>
        <w:trPr/>
        <w:tc>
          <w:tcPr>
            <w:tcW w:w="5973" w:type="dxa"/>
            <w:tcBorders/>
          </w:tcPr>
          <w:p>
            <w:pPr>
              <w:pStyle w:val="Body"/>
              <w:numPr>
                <w:ilvl w:val="0"/>
                <w:numId w:val="2"/>
              </w:numPr>
              <w:tabs>
                <w:tab w:val="left" w:pos="1440" w:leader="none"/>
                <w:tab w:val="left" w:pos="1800" w:leader="none"/>
              </w:tabs>
              <w:ind w:hanging="360" w:start="1440" w:end="0"/>
              <w:rPr>
                <w:i/>
                <w:i/>
              </w:rPr>
            </w:pPr>
            <w:r>
              <w:rPr>
                <w:i/>
              </w:rPr>
              <w:t>One or both of the Seminole entities files for bankruptcy.</w:t>
            </w:r>
          </w:p>
          <w:p>
            <w:pPr>
              <w:pStyle w:val="Body"/>
              <w:tabs>
                <w:tab w:val="left" w:pos="1800" w:leader="none"/>
              </w:tabs>
              <w:ind w:start="1080" w:end="0"/>
              <w:rPr>
                <w:i/>
                <w:i/>
              </w:rPr>
            </w:pPr>
            <w:r>
              <w:rPr>
                <w:i/>
              </w:rPr>
            </w:r>
          </w:p>
        </w:tc>
        <w:tc>
          <w:tcPr>
            <w:tcW w:w="1605" w:type="dxa"/>
            <w:tcBorders/>
          </w:tcPr>
          <w:p>
            <w:pPr>
              <w:pStyle w:val="Body"/>
              <w:ind w:start="0" w:end="0"/>
              <w:jc w:val="center"/>
              <w:rPr>
                <w:bCs/>
              </w:rPr>
            </w:pPr>
            <w:r>
              <w:rPr>
                <w:bCs/>
              </w:rPr>
              <w:t>2</w:t>
            </w:r>
          </w:p>
        </w:tc>
        <w:tc>
          <w:tcPr>
            <w:tcW w:w="4770" w:type="dxa"/>
            <w:gridSpan w:val="2"/>
            <w:tcBorders/>
          </w:tcPr>
          <w:p>
            <w:pPr>
              <w:pStyle w:val="Body"/>
              <w:numPr>
                <w:ilvl w:val="0"/>
                <w:numId w:val="3"/>
              </w:numPr>
              <w:ind w:hanging="360" w:start="702" w:end="0"/>
              <w:jc w:val="both"/>
              <w:rPr>
                <w:bCs/>
              </w:rPr>
            </w:pPr>
            <w:r>
              <w:rPr>
                <w:bCs/>
              </w:rPr>
              <w:t xml:space="preserve">ERAC will obtain acknowledgements from the common carrier pipeline in Canada and the Seminole pipeline company recognizing ERAC’s legal title to the Linefill.  The sales and Swap agreements include MAC and Bankruptcy Proceedings as Events of Default.  ERAC also has made the requisite filings to obtain a first priority security interest in the Linefill in the event the sale is deemed to be a loan.  Additionally, the Swap agreements are cross-defaulted to the physical purchase and sale agreements (and vice-versa), and upon default and early termination of the agreements they expressly provide for the setoff by the non-defaulting party of all its (and its affiliates’) obligations against the defaulting party’s (and its affiliates’) obligations.  </w:t>
            </w:r>
          </w:p>
          <w:p>
            <w:pPr>
              <w:pStyle w:val="Body"/>
              <w:ind w:start="702" w:end="0"/>
              <w:jc w:val="both"/>
              <w:rPr>
                <w:bCs/>
              </w:rPr>
            </w:pPr>
            <w:r>
              <w:rPr>
                <w:bCs/>
              </w:rPr>
            </w:r>
          </w:p>
        </w:tc>
      </w:tr>
      <w:tr>
        <w:trPr/>
        <w:tc>
          <w:tcPr>
            <w:tcW w:w="5973" w:type="dxa"/>
            <w:tcBorders/>
          </w:tcPr>
          <w:p>
            <w:pPr>
              <w:pStyle w:val="Body"/>
              <w:numPr>
                <w:ilvl w:val="0"/>
                <w:numId w:val="2"/>
              </w:numPr>
              <w:tabs>
                <w:tab w:val="left" w:pos="1440" w:leader="none"/>
                <w:tab w:val="left" w:pos="1800" w:leader="none"/>
              </w:tabs>
              <w:ind w:hanging="360" w:start="1440" w:end="0"/>
              <w:rPr>
                <w:i/>
                <w:i/>
              </w:rPr>
            </w:pPr>
            <w:r>
              <w:rPr>
                <w:i/>
              </w:rPr>
              <w:t>Linefill is lost, damaged, destroyed or                                intentionally diverted.</w:t>
            </w:r>
          </w:p>
        </w:tc>
        <w:tc>
          <w:tcPr>
            <w:tcW w:w="1605" w:type="dxa"/>
            <w:tcBorders/>
          </w:tcPr>
          <w:p>
            <w:pPr>
              <w:pStyle w:val="Body"/>
              <w:ind w:start="0" w:end="0"/>
              <w:jc w:val="center"/>
              <w:rPr>
                <w:bCs/>
              </w:rPr>
            </w:pPr>
            <w:r>
              <w:rPr>
                <w:bCs/>
              </w:rPr>
              <w:t>1.5</w:t>
            </w:r>
          </w:p>
        </w:tc>
        <w:tc>
          <w:tcPr>
            <w:tcW w:w="4770" w:type="dxa"/>
            <w:gridSpan w:val="2"/>
            <w:tcBorders/>
          </w:tcPr>
          <w:p>
            <w:pPr>
              <w:pStyle w:val="Body"/>
              <w:numPr>
                <w:ilvl w:val="0"/>
                <w:numId w:val="2"/>
              </w:numPr>
              <w:jc w:val="both"/>
              <w:rPr>
                <w:bCs/>
              </w:rPr>
            </w:pPr>
            <w:r>
              <w:rPr>
                <w:bCs/>
              </w:rPr>
              <w:t>ERAC by contract has required the Seminole entities to maintain insurance on the Linefill to cover the full replacement costs in the event of loss (and ERAC is to be named as an additional insured on the policy).  ERAC also requires by contract that the Seminole entities provide monthly inventory reports so that ERAC can monitor Linefill levels.</w:t>
            </w:r>
          </w:p>
        </w:tc>
      </w:tr>
      <w:tr>
        <w:trPr/>
        <w:tc>
          <w:tcPr>
            <w:tcW w:w="5973" w:type="dxa"/>
            <w:tcBorders/>
          </w:tcPr>
          <w:p>
            <w:pPr>
              <w:pStyle w:val="Body"/>
              <w:ind w:start="0" w:end="0"/>
              <w:rPr>
                <w:b/>
              </w:rPr>
            </w:pPr>
            <w:r>
              <w:rPr>
                <w:rFonts w:eastAsia="Arial"/>
                <w:b/>
              </w:rPr>
              <w:t xml:space="preserve">           </w:t>
            </w:r>
            <w:r>
              <w:rPr>
                <w:b/>
              </w:rPr>
              <w:t>OVERALL EXPOSURE</w:t>
            </w:r>
          </w:p>
        </w:tc>
        <w:tc>
          <w:tcPr>
            <w:tcW w:w="1681" w:type="dxa"/>
            <w:gridSpan w:val="2"/>
            <w:tcBorders/>
          </w:tcPr>
          <w:p>
            <w:pPr>
              <w:pStyle w:val="Body"/>
              <w:ind w:start="0" w:end="0"/>
              <w:jc w:val="center"/>
              <w:rPr>
                <w:b/>
              </w:rPr>
            </w:pPr>
            <w:r>
              <w:rPr>
                <w:bCs/>
              </w:rPr>
              <w:t>2.5</w:t>
            </w:r>
          </w:p>
        </w:tc>
        <w:tc>
          <w:tcPr>
            <w:tcW w:w="4694" w:type="dxa"/>
            <w:tcBorders/>
          </w:tcPr>
          <w:p>
            <w:pPr>
              <w:pStyle w:val="Body"/>
              <w:snapToGrid w:val="false"/>
              <w:ind w:start="0" w:end="0"/>
              <w:jc w:val="center"/>
              <w:rPr>
                <w:b/>
              </w:rPr>
            </w:pPr>
            <w:r>
              <w:rPr>
                <w:b/>
              </w:rPr>
            </w:r>
          </w:p>
        </w:tc>
      </w:tr>
    </w:tbl>
    <w:p>
      <w:pPr>
        <w:pStyle w:val="Normal"/>
        <w:rPr/>
      </w:pPr>
      <w:r>
        <w:rPr/>
      </w:r>
    </w:p>
    <w:p>
      <w:pPr>
        <w:pStyle w:val="Body"/>
        <w:rPr>
          <w:rFonts w:eastAsia="Arial"/>
        </w:rPr>
      </w:pPr>
      <w:r>
        <w:rPr>
          <w:rFonts w:eastAsia="Arial"/>
        </w:rPr>
        <w:t xml:space="preserve"> </w:t>
      </w:r>
    </w:p>
    <w:p>
      <w:pPr>
        <w:pStyle w:val="Body"/>
        <w:rPr/>
      </w:pPr>
      <w:r>
        <w:rPr/>
      </w:r>
    </w:p>
    <w:p>
      <w:pPr>
        <w:pStyle w:val="Body"/>
        <w:rPr/>
      </w:pPr>
      <w:r>
        <w:rPr/>
      </w:r>
    </w:p>
    <w:p>
      <w:pPr>
        <w:pStyle w:val="Body"/>
        <w:rPr/>
      </w:pPr>
      <w:r>
        <w:rPr>
          <w:rFonts w:eastAsia="Arial"/>
        </w:rPr>
        <w:t xml:space="preserve"> </w:t>
      </w:r>
      <w:r>
        <w:rPr/>
        <w:t>cc:</w:t>
        <w:tab/>
        <w:t>Julia Murray</w:t>
      </w:r>
    </w:p>
    <w:p>
      <w:pPr>
        <w:pStyle w:val="Body"/>
        <w:ind w:start="720" w:end="0"/>
        <w:rPr/>
      </w:pPr>
      <w:r>
        <w:rPr/>
      </w:r>
    </w:p>
    <w:p>
      <w:pPr>
        <w:pStyle w:val="Body"/>
        <w:ind w:start="720" w:end="0"/>
        <w:rPr/>
      </w:pPr>
      <w:r>
        <w:rPr/>
      </w:r>
    </w:p>
    <w:p>
      <w:pPr>
        <w:pStyle w:val="Body"/>
        <w:ind w:start="720" w:end="0"/>
        <w:rPr/>
      </w:pPr>
      <w:r>
        <w:rPr/>
      </w:r>
    </w:p>
    <w:p>
      <w:pPr>
        <w:pStyle w:val="Body"/>
        <w:ind w:start="720" w:end="0"/>
        <w:rPr/>
      </w:pPr>
      <w:r>
        <w:rPr/>
      </w:r>
    </w:p>
    <w:p>
      <w:pPr>
        <w:pStyle w:val="Body"/>
        <w:ind w:start="720" w:end="0"/>
        <w:rPr/>
      </w:pPr>
      <w:r>
        <w:rPr/>
      </w:r>
    </w:p>
    <w:p>
      <w:pPr>
        <w:pStyle w:val="Body"/>
        <w:ind w:start="720" w:end="0"/>
        <w:rPr/>
      </w:pPr>
      <w:r>
        <w:rPr/>
      </w:r>
    </w:p>
    <w:p>
      <w:pPr>
        <w:pStyle w:val="Body"/>
        <w:ind w:start="720" w:end="0"/>
        <w:rPr/>
      </w:pPr>
      <w:r>
        <w:rPr/>
      </w:r>
    </w:p>
    <w:p>
      <w:pPr>
        <w:pStyle w:val="Body"/>
        <w:ind w:start="720" w:end="0"/>
        <w:rPr/>
      </w:pPr>
      <w:r>
        <w:rPr/>
      </w:r>
    </w:p>
    <w:p>
      <w:pPr>
        <w:pStyle w:val="Body"/>
        <w:ind w:start="720" w:end="0"/>
        <w:rPr/>
      </w:pPr>
      <w:r>
        <w:rPr/>
      </w:r>
    </w:p>
    <w:p>
      <w:pPr>
        <w:pStyle w:val="Body"/>
        <w:ind w:start="720" w:end="0"/>
        <w:rPr>
          <w:sz w:val="16"/>
        </w:rPr>
      </w:pPr>
      <w:r>
        <w:rPr>
          <w:sz w:val="16"/>
        </w:rPr>
      </w:r>
    </w:p>
    <w:p>
      <w:pPr>
        <w:pStyle w:val="Body"/>
        <w:ind w:start="720" w:end="0"/>
        <w:rPr>
          <w:i/>
          <w:i/>
          <w:sz w:val="16"/>
        </w:rPr>
      </w:pPr>
      <w:r>
        <w:rPr>
          <w:i/>
          <w:sz w:val="16"/>
        </w:rPr>
      </w:r>
    </w:p>
    <w:p>
      <w:pPr>
        <w:pStyle w:val="Body"/>
        <w:rPr>
          <w:i/>
          <w:i/>
        </w:rPr>
      </w:pPr>
      <w:r>
        <w:rPr>
          <w:i/>
        </w:rPr>
      </w:r>
    </w:p>
    <w:sectPr>
      <w:headerReference w:type="default" r:id="rId3"/>
      <w:headerReference w:type="first" r:id="rId4"/>
      <w:footerReference w:type="default" r:id="rId5"/>
      <w:footerReference w:type="first" r:id="rId6"/>
      <w:type w:val="nextPage"/>
      <w:pgSz w:orient="landscape" w:w="15840" w:h="12240"/>
      <w:pgMar w:left="360" w:right="720" w:gutter="0" w:header="720" w:top="776" w:footer="360" w:bottom="72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Courier New">
    <w:charset w:val="00" w:characterSet="windows-1252"/>
    <w:family w:val="modern"/>
    <w:pitch w:val="default"/>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jc w:val="center"/>
      <w:rPr>
        <w:b/>
        <w:sz w:val="16"/>
      </w:rPr>
    </w:pPr>
    <w:r>
      <w:rPr>
        <w:b/>
        <w:sz w:val="16"/>
      </w:rPr>
      <w:t>Your Personal Best Makes Enron Best</w:t>
      <w:tab/>
      <w:t>Communicate- Facts Are Friendly</w:t>
      <w:tab/>
      <w:tab/>
      <w:t>Better, Faster, Simpler</w:t>
    </w:r>
  </w:p>
  <w:p>
    <w:pPr>
      <w:pStyle w:val="Footer"/>
      <w:tabs>
        <w:tab w:val="clear" w:pos="4320"/>
        <w:tab w:val="left" w:pos="3780" w:leader="none"/>
        <w:tab w:val="center" w:pos="7560" w:leader="none"/>
        <w:tab w:val="right" w:pos="8640" w:leader="none"/>
      </w:tabs>
      <w:rPr>
        <w:sz w:val="12"/>
      </w:rPr>
    </w:pPr>
    <w:r>
      <w:rPr>
        <w:sz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 w:val="right" w:pos="10800" w:leader="none"/>
      </w:tabs>
      <w:rPr>
        <w:sz w:val="12"/>
      </w:rPr>
    </w:pPr>
    <w:r>
      <w:rPr>
        <w:sz w:val="12"/>
      </w:rPr>
      <w:t>Form 000-469-1 (7/92)</w:t>
    </w:r>
  </w:p>
  <w:p>
    <w:pPr>
      <w:pStyle w:val="Footer"/>
      <w:tabs>
        <w:tab w:val="clear" w:pos="4320"/>
        <w:tab w:val="left" w:pos="3780" w:leader="none"/>
        <w:tab w:val="center" w:pos="7560" w:leader="none"/>
        <w:tab w:val="right" w:pos="8640" w:leader="none"/>
        <w:tab w:val="right" w:pos="10800" w:leader="none"/>
      </w:tabs>
      <w:rPr>
        <w:sz w:val="8"/>
      </w:rPr>
    </w:pPr>
    <w:r>
      <w:rPr>
        <w:sz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s>
      <w:jc w:val="end"/>
      <w:rPr/>
    </w:pPr>
    <w:r>
      <w:rPr/>
      <w:tab/>
      <w:t xml:space="preserve">Page </w:t>
    </w:r>
    <w:r>
      <w:rPr/>
      <w:fldChar w:fldCharType="begin"/>
    </w:r>
    <w:r>
      <w:rPr/>
      <w:instrText xml:space="preserve"> PAGE </w:instrText>
    </w:r>
    <w:r>
      <w:rPr/>
      <w:fldChar w:fldCharType="separate"/>
    </w:r>
    <w:r>
      <w:rPr/>
      <w:t>3</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ing1"/>
      <w:rPr/>
    </w:pPr>
    <w:r>
      <w:rPr/>
    </w:r>
    <w:r>
      <mc:AlternateContent>
        <mc:Choice Requires="wps">
          <w:drawing>
            <wp:anchor behindDoc="0" distT="0" distB="0" distL="118745" distR="118745" simplePos="0" locked="0" layoutInCell="0" allowOverlap="1" relativeHeight="3">
              <wp:simplePos x="0" y="0"/>
              <wp:positionH relativeFrom="page">
                <wp:posOffset>5534025</wp:posOffset>
              </wp:positionH>
              <wp:positionV relativeFrom="paragraph">
                <wp:posOffset>-227965</wp:posOffset>
              </wp:positionV>
              <wp:extent cx="3877310" cy="658495"/>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658495"/>
                      </a:xfrm>
                      <a:prstGeom prst="rect"/>
                      <a:solidFill>
                        <a:srgbClr val="FFFFFF">
                          <a:alpha val="0"/>
                        </a:srgbClr>
                      </a:solidFill>
                    </wps:spPr>
                    <wps:txbx>
                      <w:txbxContent>
                        <w:p>
                          <w:pPr>
                            <w:pStyle w:val="Heading1"/>
                            <w:rPr/>
                          </w:pPr>
                          <w:r>
                            <w:rPr/>
                            <w:t>Interoffice</w:t>
                          </w:r>
                          <w:r>
                            <w:rPr>
                              <w:b/>
                              <w:sz w:val="32"/>
                            </w:rPr>
                            <w:t>Memorandum</w:t>
                          </w:r>
                        </w:p>
                      </w:txbxContent>
                    </wps:txbx>
                    <wps:bodyPr anchor="t" lIns="0" tIns="0" rIns="0" bIns="0">
                      <a:noAutofit/>
                    </wps:bodyPr>
                  </wps:wsp>
                </a:graphicData>
              </a:graphic>
            </wp:anchor>
          </w:drawing>
        </mc:Choice>
        <mc:Fallback>
          <w:pict>
            <v:rect fillcolor="#FFFFFF" style="position:absolute;rotation:-0;width:305.3pt;height:51.85pt;mso-wrap-distance-left:9.35pt;mso-wrap-distance-right:9.35pt;mso-wrap-distance-top:0pt;mso-wrap-distance-bottom:0pt;margin-top:-17.95pt;mso-position-vertical-relative:text;margin-left:435.75pt;mso-position-horizontal-relative:page">
              <v:fill opacity="0f"/>
              <v:textbox inset="0in,0in,0in,0in">
                <w:txbxContent>
                  <w:p>
                    <w:pPr>
                      <w:pStyle w:val="Heading1"/>
                      <w:rPr/>
                    </w:pPr>
                    <w:r>
                      <w:rPr/>
                      <w:t>Interoffice</w:t>
                    </w:r>
                    <w:r>
                      <w:rPr>
                        <w:b/>
                        <w:sz w:val="32"/>
                      </w:rPr>
                      <w:t>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abstractNum w:abstractNumId="3">
    <w:lvl w:ilvl="0">
      <w:start w:val="1"/>
      <w:numFmt w:val="bullet"/>
      <w:lvlText w:val=""/>
      <w:lvlJc w:val="start"/>
      <w:pPr>
        <w:tabs>
          <w:tab w:val="num" w:pos="1080"/>
        </w:tabs>
        <w:ind w:start="1080" w:hanging="360"/>
      </w:pPr>
      <w:rPr>
        <w:rFonts w:ascii="Symbol" w:hAnsi="Symbol" w:cs="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7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Times New Roman" w:cs="Arial"/>
      <w:color w:val="auto"/>
      <w:sz w:val="24"/>
      <w:szCs w:val="20"/>
      <w:lang w:val="en-US" w:bidi="ar-SA" w:eastAsia="zh-CN"/>
    </w:rPr>
  </w:style>
  <w:style w:type="paragraph" w:styleId="Heading1">
    <w:name w:val="heading 1"/>
    <w:basedOn w:val="Normal"/>
    <w:next w:val="Normal"/>
    <w:qFormat/>
    <w:pPr>
      <w:keepNext w:val="true"/>
      <w:numPr>
        <w:ilvl w:val="0"/>
        <w:numId w:val="1"/>
      </w:numPr>
      <w:ind w:hanging="0" w:start="3600" w:end="-4695"/>
      <w:outlineLvl w:val="0"/>
    </w:pPr>
    <w:rPr>
      <w:b/>
      <w:sz w:val="32"/>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style>
  <w:style w:type="character" w:styleId="WW8Num8z0">
    <w:name w:val="WW8Num8z0"/>
    <w:qFormat/>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style>
  <w:style w:type="character" w:styleId="WW8Num19z0">
    <w:name w:val="WW8Num19z0"/>
    <w:qFormat/>
    <w:rPr>
      <w:rFonts w:ascii="Wingdings" w:hAnsi="Wingdings" w:cs="Wingdings"/>
    </w:rPr>
  </w:style>
  <w:style w:type="character" w:styleId="WW8Num19z1">
    <w:name w:val="WW8Num19z1"/>
    <w:qFormat/>
    <w:rPr>
      <w:rFonts w:ascii="Courier New" w:hAnsi="Courier New" w:cs="Courier New"/>
    </w:rPr>
  </w:style>
  <w:style w:type="character" w:styleId="WW8Num19z3">
    <w:name w:val="WW8Num19z3"/>
    <w:qFormat/>
    <w:rPr>
      <w:rFonts w:ascii="Symbol" w:hAnsi="Symbol" w:cs="Symbol"/>
    </w:rPr>
  </w:style>
  <w:style w:type="character" w:styleId="WW8Num20z0">
    <w:name w:val="WW8Num20z0"/>
    <w:qFormat/>
    <w:rPr>
      <w:rFonts w:ascii="Symbol" w:hAnsi="Symbol" w:cs="Symbol"/>
    </w:rPr>
  </w:style>
  <w:style w:type="character" w:styleId="WW8Num21z0">
    <w:name w:val="WW8Num21z0"/>
    <w:qFormat/>
    <w:rPr>
      <w:rFonts w:ascii="Symbol" w:hAnsi="Symbol" w:cs="Symbol"/>
    </w:rPr>
  </w:style>
  <w:style w:type="character" w:styleId="WW8Num21z1">
    <w:name w:val="WW8Num21z1"/>
    <w:qFormat/>
    <w:rPr>
      <w:rFonts w:ascii="Courier New" w:hAnsi="Courier New" w:cs="Courier New"/>
    </w:rPr>
  </w:style>
  <w:style w:type="character" w:styleId="WW8Num21z2">
    <w:name w:val="WW8Num21z2"/>
    <w:qFormat/>
    <w:rPr>
      <w:rFonts w:ascii="Wingdings" w:hAnsi="Wingdings" w:cs="Wingdings"/>
    </w:rPr>
  </w:style>
  <w:style w:type="character" w:styleId="WW8Num23z0">
    <w:name w:val="WW8Num23z0"/>
    <w:qFormat/>
    <w:rPr>
      <w:rFonts w:ascii="Symbol" w:hAnsi="Symbol" w:cs="Symbol"/>
    </w:rPr>
  </w:style>
  <w:style w:type="character" w:styleId="WW8Num24z0">
    <w:name w:val="WW8Num24z0"/>
    <w:qFormat/>
    <w:rPr/>
  </w:style>
  <w:style w:type="character" w:styleId="WW8Num25z0">
    <w:name w:val="WW8Num25z0"/>
    <w:qFormat/>
    <w:rPr/>
  </w:style>
  <w:style w:type="character" w:styleId="WW8Num26z0">
    <w:name w:val="WW8Num26z0"/>
    <w:qFormat/>
    <w:rPr>
      <w:rFonts w:ascii="Symbol" w:hAnsi="Symbol" w:cs="Symbol"/>
    </w:rPr>
  </w:style>
  <w:style w:type="character" w:styleId="WW8Num27z0">
    <w:name w:val="WW8Num27z0"/>
    <w:qFormat/>
    <w:rPr>
      <w:rFonts w:ascii="Symbol" w:hAnsi="Symbol" w:cs="Symbol"/>
    </w:rPr>
  </w:style>
  <w:style w:type="character" w:styleId="WW8Num28z0">
    <w:name w:val="WW8Num28z0"/>
    <w:qFormat/>
    <w:rPr>
      <w:rFonts w:ascii="Symbol" w:hAnsi="Symbol" w:cs="Symbol"/>
    </w:rPr>
  </w:style>
  <w:style w:type="character" w:styleId="WW8Num28z1">
    <w:name w:val="WW8Num28z1"/>
    <w:qFormat/>
    <w:rPr>
      <w:rFonts w:ascii="Courier New" w:hAnsi="Courier New" w:cs="Courier New"/>
    </w:rPr>
  </w:style>
  <w:style w:type="character" w:styleId="WW8Num28z2">
    <w:name w:val="WW8Num28z2"/>
    <w:qFormat/>
    <w:rPr>
      <w:rFonts w:ascii="Wingdings" w:hAnsi="Wingdings" w:cs="Wingdings"/>
    </w:rPr>
  </w:style>
  <w:style w:type="character" w:styleId="WW8Num29z0">
    <w:name w:val="WW8Num29z0"/>
    <w:qFormat/>
    <w:rPr>
      <w:rFonts w:ascii="Symbol" w:hAnsi="Symbol" w:cs="Symbol"/>
    </w:rPr>
  </w:style>
  <w:style w:type="character" w:styleId="WW8Num30z0">
    <w:name w:val="WW8Num30z0"/>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tabs>
        <w:tab w:val="clear" w:pos="540"/>
      </w:tabs>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rFonts w:ascii="Arial" w:hAnsi="Arial" w:cs="Arial"/>
      <w:sz w:val="20"/>
    </w:rPr>
  </w:style>
  <w:style w:type="paragraph" w:styleId="Body">
    <w:name w:val="Body"/>
    <w:basedOn w:val="Normal"/>
    <w:qFormat/>
    <w:pPr>
      <w:tabs>
        <w:tab w:val="clear" w:pos="540"/>
      </w:tabs>
      <w:ind w:hanging="0" w:start="72" w:end="0"/>
    </w:pPr>
    <w:rPr>
      <w:rFonts w:ascii="Arial" w:hAnsi="Arial" w:cs="Arial"/>
      <w:color w:val="000080"/>
      <w:sz w:val="20"/>
    </w:rPr>
  </w:style>
  <w:style w:type="paragraph" w:styleId="Department">
    <w:name w:val="Department"/>
    <w:basedOn w:val="Normal"/>
    <w:qFormat/>
    <w:pPr>
      <w:tabs>
        <w:tab w:val="clear" w:pos="540"/>
      </w:tabs>
    </w:pPr>
    <w:rPr>
      <w:sz w:val="20"/>
    </w:rPr>
  </w:style>
  <w:style w:type="paragraph" w:styleId="FootnoteText">
    <w:name w:val="footnote text"/>
    <w:basedOn w:val="Normal"/>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Ectmemo.dot</Template>
  <TotalTime>484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2001-03-15T12:42:00Z</dcterms:created>
  <dc:creator>Jeff Ford</dc:creator>
  <dc:description/>
  <dc:language>en-CA</dc:language>
  <cp:lastModifiedBy>mrobiso</cp:lastModifiedBy>
  <cp:lastPrinted>2001-03-23T10:46:00Z</cp:lastPrinted>
  <dcterms:modified xsi:type="dcterms:W3CDTF">2001-03-23T14:17:00Z</dcterms:modified>
  <cp:revision>14</cp:revision>
  <dc:subject>Potential Direct Liabilites Associated with a Minority Ownership Interest in Black Mountain Development LLC </dc:subject>
  <dc:title>Eron Capital &amp; Trade Resources Memo</dc:title>
</cp:coreProperties>
</file>