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20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located at the RNP Plant in Guadalupe County, Texas to deliver natural gas from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OPP, 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with piping capable for future bi-directional flow,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direct and indirect costs associated with the design, installation, procurement, and construction of the HPL Facilities.  HPL shall invoice RNP for such costs and RNP shall pay such invoice within 15 days of RNP’s receipt thereof.  RNP shall be responsible for all direct and indirect costs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3 above.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uni-directional ultrasonic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 Facilities at pressures existing from time to time in the HPL Pipeline.  RNP shall deliver the gas to the HPL Facilities as pressure sufficient to effectuate deliveries at pressures existing in the HPL Pipeline from time to time.  The RNP Facilities and the HPL Facilities shall include OPP equipment which shall be set at a pressure not to exceed the MAOP of the RNP Pipeline or the HPL Pipeline respectively, as they may be modified from time to time.  Each Party shall properly operate, maintain, inspect, test, and document its respective OPP devices on an annual basis and shall provide such documentation to the other Party if requested.</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Rio_Nogales_Power_Project_ICA-f6ac353277a1ca8ac73334f78b7d830d39056a6b7103581b555423b011f534cc.doc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2001-01-29T10:05:00Z</cp:lastPrinted>
  <dcterms:modified xsi:type="dcterms:W3CDTF">2001-01-29T13:45:00Z</dcterms:modified>
  <cp:revision>39</cp:revision>
  <dc:subject/>
  <dc:title>Letter format</dc:title>
</cp:coreProperties>
</file>