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RIO NOGALES POWER PROJECT, L.P., a __________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20 miles of 16-inch pipeline in Caldwell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uni-directional natural gas meter station and associated piping located at the RNP Plant in Guadalupe County, Texas to deliver natural gas from the HPL Pipeline to the RNP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10-inch uni-directional ultrasonic meter with piping capable for future bi-directional flow,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Plant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30-inch HPL Pipeline, </w:t>
      </w:r>
      <w:r>
        <w:rPr>
          <w:rFonts w:cs="Arial Narrow" w:ascii="Arial Narrow" w:hAnsi="Arial Narrow"/>
          <w:sz w:val="18"/>
        </w:rPr>
        <w:t>HPL's EFM/SCADA and RTU equipment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and piping from the RNP Plant to the downstream flange on the meter run (during flow from HPL to RNP) and RNP's EFM/SCADA and RTU equipment and communication equipment located on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10-inch ultrasonic meter with piping capable for future bi-directional flow,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RNP or its designee in accordance with the Standards and with sound and prudent natural gas industry practice.  Prior to the commencement of construction, RNP shall submit all construction, material and equipment drawings and specifications to HPL for HPL’s approval which shall not be unreasonably withheld.  HPL shall review such drawings and specifications within twenty (20) days of receipt thereof.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RNP shall reimburse HPL for all direct and indirect costs, including income tax gross-up, associated with the design, installation, procurement, and construction of the HPL Facilities.  HPL shall invoice RNP for such costs and RNP shall pay such invoice within 15 days of RNP’s receipt thereof.  RNP shall be responsible for all direct and indirect costs including income tax gross-up, associated with the design, installation, procurement, and construction of the RNP Facilities and HPL Operated Facilities.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150,000 MMBTU through the Interconnect for such month.  If at any time the meter is changed to allow for bi-directional flow through the Interconnect such change shall be at RNP's sole cost and expense.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their sole cost and expense all clearances, permits, licenses, authorizations, easements and other land rights that may be needed for the construction, installation, maintenance, and operation of the RNP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3 above.  RNP shall operate and maintain the RNP Facilities in accordance with sound and prudent natural gas industry practice and shall be fully responsible for the routine operation and maintenance thereof and for all cost and expense associated therewith.  RNP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uni-directional ultrasonic meter, or if installed, the bi-directional meter (the "</w:t>
      </w:r>
      <w:r>
        <w:rPr>
          <w:rFonts w:cs="Arial Narrow" w:ascii="Arial Narrow" w:hAnsi="Arial Narrow"/>
          <w:sz w:val="18"/>
          <w:u w:val="single"/>
        </w:rPr>
        <w:t>Meter</w:t>
      </w:r>
      <w:r>
        <w:rPr>
          <w:rFonts w:cs="Arial Narrow" w:ascii="Arial Narrow" w:hAnsi="Arial Narrow"/>
          <w:sz w:val="18"/>
        </w:rPr>
        <w:t>") and HPL shall give RNP twenty-four hour operational notice to HPL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RNP Facilities at pressures existing from time to time in the HPL Pipeline.  The RNP Facilities include OPP equipment which shall be set at a pressure not to exceed the MAOP of the RNP Pipeline as it may be modified from time to time.  The HPL Operated Facilities shall be designed to allow for the future installation of OPP equipment at such time bi-directional facilities are installed, and such OPP equipment shall be set at a pressure not to exceed the MAOP of the HPL Pipeline as it may be modified from time to time.  RNP shall deliver the gas to the HPL Facilities at pressure sufficient to effectuate deliveries at pressures existing in the HPL Pipeline from time to time.  Each Party shall properly operate, maintain, inspect, test, and document its respective OPP devices on an annual basis and shall provide such documentation to the other Party if requested.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345-7040</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Rio_Nogales_Power_Project_ICA-c3c56e2a7dacbb3e5bce4be63bbde13225796f49c41ee5fc5b33f145ee0a2957.doc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2000-12-14T13:13:00Z</dcterms:created>
  <dc:creator>ECT</dc:creator>
  <dc:description/>
  <dc:language>en-CA</dc:language>
  <cp:lastModifiedBy>egillas</cp:lastModifiedBy>
  <cp:lastPrinted>2001-01-29T14:29:00Z</cp:lastPrinted>
  <dcterms:modified xsi:type="dcterms:W3CDTF">2001-01-29T19:39:00Z</dcterms:modified>
  <cp:revision>48</cp:revision>
  <dc:subject/>
  <dc:title>Letter format</dc:title>
</cp:coreProperties>
</file>