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Contract No. ________________</w:t>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center"/>
        <w:rPr>
          <w:b/>
        </w:rPr>
      </w:pPr>
      <w:r>
        <w:rPr>
          <w:b/>
        </w:rPr>
        <w:t>INTERRUPTIBLE GAS TRANSPORTATION AGREEMENT</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HOUSTON PIPE LINE COMPANY</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RIO NOGALES POWER PROJECT L.P.</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clear" w:pos="720"/>
          <w:tab w:val="left" w:pos="6480" w:leader="none"/>
        </w:tabs>
        <w:jc w:val="start"/>
        <w:rPr/>
      </w:pPr>
      <w:r>
        <w:rPr/>
        <w:tab/>
        <w:t>__</w:t>
      </w:r>
      <w:r>
        <w:rPr>
          <w:u w:val="single"/>
        </w:rPr>
        <w:t>x</w:t>
      </w:r>
      <w:r>
        <w:rPr/>
        <w:t>__  Intrastate</w:t>
      </w:r>
    </w:p>
    <w:p>
      <w:pPr>
        <w:pStyle w:val="Normal"/>
        <w:widowControl/>
        <w:tabs>
          <w:tab w:val="clear" w:pos="720"/>
          <w:tab w:val="left" w:pos="6480" w:leader="none"/>
        </w:tabs>
        <w:jc w:val="start"/>
        <w:rPr/>
      </w:pPr>
      <w:r>
        <w:rPr/>
        <w:tab/>
        <w:t>_____  NGPA Section 311</w:t>
      </w:r>
    </w:p>
    <w:p>
      <w:pPr>
        <w:pStyle w:val="Normal"/>
        <w:widowControl/>
        <w:tabs>
          <w:tab w:val="clear" w:pos="720"/>
          <w:tab w:val="left" w:pos="6480" w:leader="none"/>
        </w:tabs>
        <w:jc w:val="start"/>
        <w:rPr/>
      </w:pPr>
      <w:r>
        <w:rPr/>
        <w:tab/>
        <w:t>_____  Section 284.227</w:t>
      </w:r>
    </w:p>
    <w:p>
      <w:pPr>
        <w:pStyle w:val="Normal"/>
        <w:widowControl/>
        <w:jc w:val="center"/>
        <w:rPr/>
      </w:pPr>
      <w:r>
        <w:rPr/>
      </w:r>
      <w:r>
        <w:br w:type="page"/>
      </w:r>
    </w:p>
    <w:p>
      <w:pPr>
        <w:pStyle w:val="Normal"/>
        <w:widowControl/>
        <w:jc w:val="center"/>
        <w:rPr>
          <w:b/>
          <w:sz w:val="32"/>
        </w:rPr>
      </w:pPr>
      <w:r>
        <w:rPr>
          <w:b/>
          <w:sz w:val="32"/>
        </w:rPr>
        <w:t>TABLE OF CONTENTS</w:t>
      </w:r>
    </w:p>
    <w:p>
      <w:pPr>
        <w:pStyle w:val="Normal"/>
        <w:widowContro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widowControl/>
            <w:rPr/>
          </w:pPr>
          <w:r>
            <w:fldChar w:fldCharType="begin"/>
          </w:r>
          <w:r>
            <w:rPr/>
            <w:instrText xml:space="preserve">toc \o "1-1" </w:instrText>
          </w:r>
          <w:r>
            <w:rPr/>
            <w:fldChar w:fldCharType="separate"/>
          </w:r>
          <w:r>
            <w:rPr/>
            <w:t>1. REGULATIONS</w:t>
            <w:tab/>
          </w:r>
          <w:r>
            <w:fldChar w:fldCharType="begin"/>
          </w:r>
          <w:r>
            <w:rPr>
              <w:smallCaps w:val="false"/>
              <w:caps w:val="false"/>
            </w:rPr>
            <w:instrText xml:space="preserve">gotobutton _Toc351197746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2. MAXIMUM DAILY TRANSPORTATION QUANTITY</w:t>
            <w:tab/>
          </w:r>
          <w:r>
            <w:fldChar w:fldCharType="begin"/>
          </w:r>
          <w:r>
            <w:rPr>
              <w:smallCaps w:val="false"/>
              <w:caps w:val="false"/>
            </w:rPr>
            <w:instrText xml:space="preserve">gotobutton _Toc351197747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3. RECEIPT POINTS AND DELIVERY POINTS</w:t>
            <w:tab/>
          </w:r>
          <w:r>
            <w:fldChar w:fldCharType="begin"/>
          </w:r>
          <w:r>
            <w:rPr>
              <w:smallCaps w:val="false"/>
              <w:caps w:val="false"/>
            </w:rPr>
            <w:instrText xml:space="preserve">gotobutton _Toc351197748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4. TERM</w:t>
            <w:tab/>
          </w:r>
          <w:r>
            <w:fldChar w:fldCharType="begin"/>
          </w:r>
          <w:r>
            <w:rPr>
              <w:smallCaps w:val="false"/>
              <w:caps w:val="false"/>
            </w:rPr>
            <w:instrText xml:space="preserve">gotobutton _Toc351197749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5. FEE</w:t>
            <w:tab/>
          </w:r>
          <w:r>
            <w:fldChar w:fldCharType="begin"/>
          </w:r>
          <w:r>
            <w:rPr>
              <w:smallCaps w:val="false"/>
              <w:caps w:val="false"/>
            </w:rPr>
            <w:instrText xml:space="preserve">gotobutton _Toc351197750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6. NOTICES</w:t>
            <w:tab/>
          </w:r>
          <w:r>
            <w:fldChar w:fldCharType="begin"/>
          </w:r>
          <w:r>
            <w:rPr>
              <w:smallCaps w:val="false"/>
              <w:caps w:val="false"/>
            </w:rPr>
            <w:instrText xml:space="preserve">gotobutton _Toc351197751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7. WARRANTIES, INDEMNIFICATIONS</w:t>
            <w:tab/>
          </w:r>
          <w:r>
            <w:fldChar w:fldCharType="begin"/>
          </w:r>
          <w:r>
            <w:rPr>
              <w:smallCaps w:val="false"/>
              <w:caps w:val="false"/>
            </w:rPr>
            <w:instrText xml:space="preserve">gotobutton _Toc351197752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8. ATTACHMENTS</w:t>
            <w:tab/>
          </w:r>
          <w:r>
            <w:fldChar w:fldCharType="begin"/>
          </w:r>
          <w:r>
            <w:rPr>
              <w:smallCaps w:val="false"/>
              <w:caps w:val="false"/>
            </w:rPr>
            <w:instrText xml:space="preserve">gotobutton _Toc351197753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9. OTHER TERMS AND CONDITIONS</w:t>
            <w:tab/>
          </w:r>
          <w:r>
            <w:fldChar w:fldCharType="begin"/>
          </w:r>
          <w:r>
            <w:rPr>
              <w:smallCaps w:val="false"/>
              <w:caps w:val="false"/>
            </w:rPr>
            <w:instrText xml:space="preserve">gotobutton _Toc351197754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widowControl/>
        <w:tabs>
          <w:tab w:val="clear" w:pos="720"/>
          <w:tab w:val="left" w:pos="1440" w:leader="none"/>
          <w:tab w:val="left" w:pos="8208" w:leader="dot"/>
        </w:tabs>
        <w:jc w:val="center"/>
        <w:rPr>
          <w:b/>
        </w:rPr>
      </w:pPr>
      <w:r>
        <w:rPr>
          <w:b/>
        </w:rPr>
        <w:t>APPENDIX "A"</w:t>
      </w:r>
    </w:p>
    <w:p>
      <w:pPr>
        <w:pStyle w:val="Normal"/>
        <w:widowControl/>
        <w:tabs>
          <w:tab w:val="clear" w:pos="720"/>
          <w:tab w:val="left" w:pos="1440" w:leader="none"/>
          <w:tab w:val="left" w:pos="8208" w:leader="dot"/>
        </w:tabs>
        <w:ind w:start="720" w:end="0"/>
        <w:rPr>
          <w:caps/>
        </w:rPr>
      </w:pPr>
      <w:r>
        <w:rPr>
          <w:caps/>
        </w:rPr>
        <w:t>1.</w:t>
        <w:tab/>
        <w:t>Definitions</w:t>
        <w:tab/>
        <w:t>a-1</w:t>
      </w:r>
    </w:p>
    <w:p>
      <w:pPr>
        <w:pStyle w:val="Normal"/>
        <w:widowControl/>
        <w:tabs>
          <w:tab w:val="clear" w:pos="720"/>
          <w:tab w:val="left" w:pos="1440" w:leader="none"/>
          <w:tab w:val="left" w:pos="8208" w:leader="dot"/>
        </w:tabs>
        <w:ind w:start="720" w:end="0"/>
        <w:rPr>
          <w:caps/>
        </w:rPr>
      </w:pPr>
      <w:r>
        <w:rPr>
          <w:caps/>
        </w:rPr>
        <w:t>2.</w:t>
        <w:tab/>
        <w:t>Receipt and Delivery of Gas</w:t>
        <w:tab/>
        <w:t>a-1</w:t>
      </w:r>
    </w:p>
    <w:p>
      <w:pPr>
        <w:pStyle w:val="Normal"/>
        <w:widowControl/>
        <w:tabs>
          <w:tab w:val="clear" w:pos="720"/>
          <w:tab w:val="left" w:pos="1440" w:leader="none"/>
          <w:tab w:val="left" w:pos="8208" w:leader="dot"/>
        </w:tabs>
        <w:ind w:start="720" w:end="0"/>
        <w:rPr>
          <w:caps/>
        </w:rPr>
      </w:pPr>
      <w:r>
        <w:rPr>
          <w:caps/>
        </w:rPr>
        <w:t>3.</w:t>
        <w:tab/>
        <w:t>Nomination and Scheduling</w:t>
        <w:tab/>
        <w:t>a-2</w:t>
      </w:r>
    </w:p>
    <w:p>
      <w:pPr>
        <w:pStyle w:val="Normal"/>
        <w:widowControl/>
        <w:tabs>
          <w:tab w:val="clear" w:pos="720"/>
          <w:tab w:val="left" w:pos="1440" w:leader="none"/>
          <w:tab w:val="left" w:pos="8208" w:leader="dot"/>
        </w:tabs>
        <w:ind w:start="720" w:end="0"/>
        <w:rPr>
          <w:caps/>
        </w:rPr>
      </w:pPr>
      <w:r>
        <w:rPr>
          <w:caps/>
        </w:rPr>
        <w:t>4.</w:t>
        <w:tab/>
        <w:t>Allocations</w:t>
        <w:tab/>
        <w:t>a-2</w:t>
      </w:r>
    </w:p>
    <w:p>
      <w:pPr>
        <w:pStyle w:val="Normal"/>
        <w:widowControl/>
        <w:tabs>
          <w:tab w:val="clear" w:pos="720"/>
          <w:tab w:val="left" w:pos="1440" w:leader="none"/>
          <w:tab w:val="left" w:pos="8208" w:leader="dot"/>
        </w:tabs>
        <w:ind w:start="720" w:end="0"/>
        <w:rPr>
          <w:caps/>
        </w:rPr>
      </w:pPr>
      <w:r>
        <w:rPr>
          <w:caps/>
        </w:rPr>
        <w:t>5.</w:t>
        <w:tab/>
        <w:t>Scheduling Deviations</w:t>
        <w:tab/>
        <w:t>a-3</w:t>
      </w:r>
    </w:p>
    <w:p>
      <w:pPr>
        <w:pStyle w:val="Normal"/>
        <w:widowControl/>
        <w:tabs>
          <w:tab w:val="clear" w:pos="720"/>
          <w:tab w:val="left" w:pos="1440" w:leader="none"/>
          <w:tab w:val="left" w:pos="8208" w:leader="dot"/>
        </w:tabs>
        <w:ind w:start="720" w:end="0"/>
        <w:rPr>
          <w:caps/>
        </w:rPr>
      </w:pPr>
      <w:r>
        <w:rPr>
          <w:caps/>
        </w:rPr>
        <w:t>6.</w:t>
        <w:tab/>
        <w:t>Contract Balancing</w:t>
        <w:tab/>
        <w:t>a-3</w:t>
      </w:r>
    </w:p>
    <w:p>
      <w:pPr>
        <w:pStyle w:val="Normal"/>
        <w:widowControl/>
        <w:tabs>
          <w:tab w:val="clear" w:pos="720"/>
          <w:tab w:val="left" w:pos="1440" w:leader="none"/>
          <w:tab w:val="left" w:pos="8208" w:leader="dot"/>
        </w:tabs>
        <w:ind w:start="720" w:end="0"/>
        <w:rPr>
          <w:caps/>
        </w:rPr>
      </w:pPr>
      <w:r>
        <w:rPr>
          <w:caps/>
        </w:rPr>
        <w:t>7.</w:t>
        <w:tab/>
        <w:t>Ownership and Control</w:t>
        <w:tab/>
        <w:t>a-3</w:t>
      </w:r>
    </w:p>
    <w:p>
      <w:pPr>
        <w:pStyle w:val="Normal"/>
        <w:widowControl/>
        <w:tabs>
          <w:tab w:val="clear" w:pos="720"/>
          <w:tab w:val="left" w:pos="1440" w:leader="none"/>
          <w:tab w:val="left" w:pos="8208" w:leader="dot"/>
        </w:tabs>
        <w:ind w:start="720" w:end="0"/>
        <w:rPr>
          <w:caps/>
        </w:rPr>
      </w:pPr>
      <w:r>
        <w:rPr>
          <w:caps/>
        </w:rPr>
        <w:t>8.</w:t>
        <w:tab/>
        <w:t>Pressures</w:t>
        <w:tab/>
        <w:t>a-3</w:t>
      </w:r>
    </w:p>
    <w:p>
      <w:pPr>
        <w:pStyle w:val="Normal"/>
        <w:widowControl/>
        <w:tabs>
          <w:tab w:val="clear" w:pos="720"/>
          <w:tab w:val="left" w:pos="1440" w:leader="none"/>
          <w:tab w:val="left" w:pos="8208" w:leader="dot"/>
        </w:tabs>
        <w:ind w:start="720" w:end="0"/>
        <w:rPr>
          <w:caps/>
        </w:rPr>
      </w:pPr>
      <w:r>
        <w:rPr>
          <w:caps/>
        </w:rPr>
        <w:t>9.</w:t>
        <w:tab/>
        <w:t>Quality</w:t>
        <w:tab/>
        <w:t>a-4</w:t>
      </w:r>
    </w:p>
    <w:p>
      <w:pPr>
        <w:pStyle w:val="Normal"/>
        <w:widowControl/>
        <w:tabs>
          <w:tab w:val="clear" w:pos="720"/>
          <w:tab w:val="left" w:pos="1440" w:leader="none"/>
          <w:tab w:val="left" w:pos="8208" w:leader="dot"/>
        </w:tabs>
        <w:ind w:start="720" w:end="0"/>
        <w:rPr>
          <w:caps/>
        </w:rPr>
      </w:pPr>
      <w:r>
        <w:rPr>
          <w:caps/>
        </w:rPr>
        <w:t>10.</w:t>
        <w:tab/>
        <w:t>Metering Facilities and Measurement</w:t>
        <w:tab/>
        <w:t>a-5</w:t>
      </w:r>
    </w:p>
    <w:p>
      <w:pPr>
        <w:pStyle w:val="Normal"/>
        <w:widowControl/>
        <w:tabs>
          <w:tab w:val="clear" w:pos="720"/>
          <w:tab w:val="left" w:pos="1440" w:leader="none"/>
          <w:tab w:val="left" w:pos="8208" w:leader="dot"/>
        </w:tabs>
        <w:ind w:start="720" w:end="0"/>
        <w:rPr>
          <w:caps/>
        </w:rPr>
      </w:pPr>
      <w:r>
        <w:rPr>
          <w:caps/>
        </w:rPr>
        <w:t>11.</w:t>
        <w:tab/>
        <w:t>Meter Test</w:t>
        <w:tab/>
        <w:t>a-6</w:t>
      </w:r>
    </w:p>
    <w:p>
      <w:pPr>
        <w:pStyle w:val="Normal"/>
        <w:widowControl/>
        <w:tabs>
          <w:tab w:val="clear" w:pos="720"/>
          <w:tab w:val="left" w:pos="1440" w:leader="none"/>
          <w:tab w:val="left" w:pos="8208" w:leader="dot"/>
        </w:tabs>
        <w:ind w:start="720" w:end="0"/>
        <w:rPr>
          <w:caps/>
        </w:rPr>
      </w:pPr>
      <w:r>
        <w:rPr>
          <w:caps/>
        </w:rPr>
        <w:t>12.</w:t>
        <w:tab/>
        <w:t>Force Majeure</w:t>
        <w:tab/>
        <w:t>a-7</w:t>
      </w:r>
    </w:p>
    <w:p>
      <w:pPr>
        <w:pStyle w:val="Normal"/>
        <w:widowControl/>
        <w:tabs>
          <w:tab w:val="clear" w:pos="720"/>
          <w:tab w:val="left" w:pos="1440" w:leader="none"/>
          <w:tab w:val="left" w:pos="8208" w:leader="dot"/>
        </w:tabs>
        <w:ind w:start="720" w:end="0"/>
        <w:rPr>
          <w:caps/>
        </w:rPr>
      </w:pPr>
      <w:r>
        <w:rPr>
          <w:caps/>
        </w:rPr>
        <w:t>13.</w:t>
        <w:tab/>
        <w:t>Billing and Payment</w:t>
        <w:tab/>
        <w:t>a-9</w:t>
      </w:r>
    </w:p>
    <w:p>
      <w:pPr>
        <w:pStyle w:val="Normal"/>
        <w:widowControl/>
        <w:tabs>
          <w:tab w:val="clear" w:pos="720"/>
          <w:tab w:val="left" w:pos="1440" w:leader="none"/>
          <w:tab w:val="left" w:pos="8208" w:leader="dot"/>
        </w:tabs>
        <w:ind w:start="720" w:end="0"/>
        <w:rPr>
          <w:caps/>
        </w:rPr>
      </w:pPr>
      <w:r>
        <w:rPr>
          <w:caps/>
        </w:rPr>
        <w:t>14.</w:t>
        <w:tab/>
        <w:t>Assignment</w:t>
        <w:tab/>
        <w:t>a-9</w:t>
      </w:r>
    </w:p>
    <w:p>
      <w:pPr>
        <w:pStyle w:val="Normal"/>
        <w:widowControl/>
        <w:tabs>
          <w:tab w:val="clear" w:pos="720"/>
          <w:tab w:val="left" w:pos="1440" w:leader="none"/>
          <w:tab w:val="left" w:pos="8208" w:leader="dot"/>
        </w:tabs>
        <w:ind w:start="720" w:end="0"/>
        <w:rPr>
          <w:caps/>
        </w:rPr>
      </w:pPr>
      <w:r>
        <w:rPr>
          <w:caps/>
        </w:rPr>
        <w:t>15.</w:t>
        <w:tab/>
        <w:t>Taxes</w:t>
        <w:tab/>
        <w:t>a-10</w:t>
      </w:r>
    </w:p>
    <w:p>
      <w:pPr>
        <w:pStyle w:val="Normal"/>
        <w:widowControl/>
        <w:tabs>
          <w:tab w:val="clear" w:pos="720"/>
          <w:tab w:val="left" w:pos="1440" w:leader="none"/>
          <w:tab w:val="left" w:pos="8208" w:leader="dot"/>
        </w:tabs>
        <w:ind w:start="720" w:end="0"/>
        <w:rPr>
          <w:caps/>
        </w:rPr>
      </w:pPr>
      <w:r>
        <w:rPr>
          <w:caps/>
        </w:rPr>
        <w:t>16.</w:t>
        <w:tab/>
        <w:t>Applicable Law</w:t>
        <w:tab/>
        <w:t>a-10</w:t>
      </w:r>
    </w:p>
    <w:p>
      <w:pPr>
        <w:pStyle w:val="Normal"/>
        <w:widowControl/>
        <w:tabs>
          <w:tab w:val="clear" w:pos="720"/>
          <w:tab w:val="left" w:pos="1440" w:leader="none"/>
          <w:tab w:val="left" w:pos="8208" w:leader="dot"/>
        </w:tabs>
        <w:ind w:start="720" w:end="0"/>
        <w:rPr>
          <w:caps/>
        </w:rPr>
      </w:pPr>
      <w:r>
        <w:rPr>
          <w:caps/>
        </w:rPr>
        <w:t>17.</w:t>
        <w:tab/>
        <w:t>Governmental Regulations</w:t>
        <w:tab/>
        <w:t>a-10</w:t>
      </w:r>
    </w:p>
    <w:p>
      <w:pPr>
        <w:pStyle w:val="Normal"/>
        <w:widowControl/>
        <w:tabs>
          <w:tab w:val="clear" w:pos="720"/>
          <w:tab w:val="left" w:pos="1440" w:leader="none"/>
          <w:tab w:val="left" w:pos="8208" w:leader="dot"/>
        </w:tabs>
        <w:ind w:start="720" w:end="0"/>
        <w:rPr>
          <w:caps/>
        </w:rPr>
      </w:pPr>
      <w:r>
        <w:rPr>
          <w:caps/>
        </w:rPr>
        <w:t>18.</w:t>
        <w:tab/>
        <w:t>Miscellaneous</w:t>
        <w:tab/>
        <w:t>a-10</w:t>
      </w:r>
    </w:p>
    <w:p>
      <w:pPr>
        <w:pStyle w:val="Normal"/>
        <w:widowControl/>
        <w:tabs>
          <w:tab w:val="clear" w:pos="720"/>
          <w:tab w:val="left" w:pos="1440" w:leader="none"/>
          <w:tab w:val="left" w:pos="8208" w:leader="dot"/>
        </w:tabs>
        <w:ind w:start="720" w:end="0"/>
        <w:jc w:val="start"/>
        <w:rPr>
          <w:caps/>
        </w:rPr>
      </w:pPr>
      <w:r>
        <w:rPr>
          <w:caps/>
        </w:rPr>
      </w:r>
    </w:p>
    <w:p>
      <w:pPr>
        <w:pStyle w:val="Normal"/>
        <w:widowControl/>
        <w:tabs>
          <w:tab w:val="clear" w:pos="720"/>
          <w:tab w:val="left" w:pos="1440" w:leader="none"/>
          <w:tab w:val="left" w:pos="7920" w:leader="none"/>
        </w:tabs>
        <w:ind w:start="720" w:end="0"/>
        <w:jc w:val="start"/>
        <w:rPr>
          <w:b/>
        </w:rPr>
      </w:pPr>
      <w:r>
        <w:rPr>
          <w:b/>
        </w:rPr>
        <w:t>EXHIBIT "A"</w:t>
      </w:r>
    </w:p>
    <w:p>
      <w:pPr>
        <w:pStyle w:val="Normal"/>
        <w:widowControl/>
        <w:tabs>
          <w:tab w:val="clear" w:pos="720"/>
          <w:tab w:val="left" w:pos="1440" w:leader="none"/>
          <w:tab w:val="left" w:pos="7920" w:leader="none"/>
        </w:tabs>
        <w:ind w:start="720" w:end="0"/>
        <w:jc w:val="start"/>
        <w:rPr>
          <w:b/>
        </w:rPr>
      </w:pPr>
      <w:r>
        <w:rPr>
          <w:b/>
        </w:rPr>
        <w:t>EXHIBIT "B"</w:t>
      </w:r>
    </w:p>
    <w:p>
      <w:pPr>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pStyle w:val="Normal"/>
        <w:widowControl/>
        <w:tabs>
          <w:tab w:val="clear" w:pos="720"/>
          <w:tab w:val="left" w:pos="1440" w:leader="none"/>
          <w:tab w:val="left" w:pos="7920" w:leader="none"/>
        </w:tabs>
        <w:ind w:start="720" w:end="0"/>
        <w:jc w:val="start"/>
        <w:rPr>
          <w:b/>
        </w:rPr>
      </w:pPr>
      <w:r>
        <w:rPr>
          <w:b/>
        </w:rPr>
        <w:t>EXHIBIT "C"</w:t>
      </w:r>
    </w:p>
    <w:p>
      <w:pPr>
        <w:pStyle w:val="Normal"/>
        <w:widowControl/>
        <w:jc w:val="center"/>
        <w:rPr>
          <w:b/>
          <w:sz w:val="30"/>
        </w:rPr>
      </w:pPr>
      <w:r>
        <w:rPr>
          <w:b/>
          <w:sz w:val="30"/>
        </w:rPr>
        <w:t>INTERRUPTIBLE</w:t>
      </w:r>
    </w:p>
    <w:p>
      <w:pPr>
        <w:pStyle w:val="Normal"/>
        <w:widowControl/>
        <w:spacing w:before="0" w:after="240"/>
        <w:jc w:val="center"/>
        <w:rPr>
          <w:b/>
          <w:sz w:val="30"/>
        </w:rPr>
      </w:pPr>
      <w:r>
        <w:rPr>
          <w:b/>
          <w:sz w:val="30"/>
        </w:rPr>
        <w:t>GAS TRANSPORTATION AGREEMENT</w:t>
      </w:r>
    </w:p>
    <w:p>
      <w:pPr>
        <w:pStyle w:val="Normal"/>
        <w:widowControl/>
        <w:ind w:firstLine="720" w:end="0"/>
        <w:rPr/>
      </w:pPr>
      <w:r>
        <w:rPr/>
        <w:t>THIS INTERRUPTIBLE GAS TRANSPORTATION AGREEMENT made and entered into effective and operative as of the ____ day of ____________, 2000, by and between RIO NOGALES POWER PROJECT L.P., a Delaware limited partnership hereinafter referred to as "Shipper", and HOUSTON PIPE LINE COMPANY, a Delaware corporation, hereinafter referred to as "Houston".</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transport certain quantities of natural gas for Shipper from time to time; and</w:t>
      </w:r>
    </w:p>
    <w:p>
      <w:pPr>
        <w:pStyle w:val="Normal"/>
        <w:widowControl/>
        <w:spacing w:before="0" w:after="120"/>
        <w:ind w:firstLine="720" w:end="0"/>
        <w:rPr/>
      </w:pPr>
      <w:r>
        <w:rPr/>
        <w:t>WHEREAS, Houston has available pipeline facilities in Texas and agrees to receive and transport said Gas for Shipper as hereinafter provided.</w:t>
      </w:r>
    </w:p>
    <w:p>
      <w:pPr>
        <w:pStyle w:val="Normal"/>
        <w:widowControl/>
        <w:ind w:firstLine="720" w:end="0"/>
        <w:rPr/>
      </w:pPr>
      <w:r>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keepNext w:val="true"/>
        <w:widowControl/>
        <w:spacing w:before="0" w:after="120"/>
        <w:ind w:firstLine="720" w:end="0"/>
        <w:rPr/>
      </w:pPr>
      <w:r>
        <w:rPr/>
        <w:t>This Agreement is one of the following (as indicated by the inserted "X"):</w:t>
      </w:r>
    </w:p>
    <w:p>
      <w:pPr>
        <w:pStyle w:val="Normal"/>
        <w:widowControl/>
        <w:spacing w:before="0" w:after="120"/>
        <w:ind w:hanging="1440" w:start="2160" w:end="0"/>
        <w:rPr/>
      </w:pPr>
      <w:r>
        <w:rPr/>
        <w:t>____</w:t>
      </w:r>
      <w:r>
        <w:rPr>
          <w:u w:val="single"/>
        </w:rPr>
        <w:t>x</w:t>
      </w:r>
      <w:r>
        <w:rPr/>
        <w:t>___</w:t>
        <w:tab/>
        <w:t>Intrastate Agreement - The transportation arrangement hereunder is not subject to the Federal Energy Regulatory Commission's ("FERC") regulations under the Natural Gas Act of 1938, as amended ("NGA").</w:t>
      </w:r>
    </w:p>
    <w:p>
      <w:pPr>
        <w:pStyle w:val="BodyTextIndent2"/>
        <w:rPr/>
      </w:pPr>
      <w:r>
        <w:rPr/>
        <w:t>________</w:t>
        <w:tab/>
        <w:t>NGPA Section 311 Agreement - The transportation arrangement hereunder is (i) subject to the provisions of Subpart C of Part 284 of the FERC's regulations (18 CFR §284.121 et seq.) implementing Section 311(a)(2) of the Natural Gas Policy Act of 1978, as amended ("NGPA"), and (ii) "on behalf of" (A) Shipper (an interstate pipeline or a local distribution company served by an interstate pipeline including a Hinshaw pipeline), (B) one or more of the interstate pipelines as specified by Exhibit "A" or Exhibit "B" hereto ("OBO Party(ies)"), or (C) a local distribution company served by an interstate pipeline.</w:t>
      </w:r>
    </w:p>
    <w:p>
      <w:pPr>
        <w:pStyle w:val="Normal"/>
        <w:keepLines/>
        <w:widowControl/>
        <w:ind w:hanging="1440" w:start="2160" w:end="0"/>
        <w:rPr/>
      </w:pPr>
      <w:r>
        <w:rPr/>
        <w:t>________</w:t>
        <w:tab/>
        <w:t>Section 284.227 Agreement - The transportation arrangement hereunder is subject to Section 284.227 of the FERC's regulations and, to the extent applicable, Subpart C of Part 284 of the FERC's regulations.</w:t>
      </w:r>
    </w:p>
    <w:p>
      <w:pPr>
        <w:pStyle w:val="Heading1"/>
        <w:widowControl/>
        <w:ind w:hanging="0" w:start="0"/>
        <w:rPr/>
      </w:pPr>
      <w:r>
        <w:rPr/>
        <w:fldChar w:fldCharType="begin"/>
      </w:r>
      <w:r>
        <w:rPr/>
        <w:instrText xml:space="preserve"> SEQ AutoNr \* ARABIC </w:instrText>
      </w:r>
      <w:r>
        <w:rPr/>
        <w:fldChar w:fldCharType="separate"/>
      </w:r>
      <w:r>
        <w:rPr/>
        <w:t>2</w:t>
      </w:r>
      <w:r>
        <w:rPr/>
        <w:fldChar w:fldCharType="end"/>
      </w:r>
      <w:r>
        <w:rPr/>
        <w:tab/>
        <w:t>Maximum Daily Transportation Quantity</w:t>
      </w:r>
    </w:p>
    <w:p>
      <w:pPr>
        <w:pStyle w:val="Normal"/>
        <w:widowControl/>
        <w:ind w:firstLine="720" w:end="0"/>
        <w:rPr/>
      </w:pPr>
      <w:r>
        <w:rPr/>
        <w:t>From time to time Shipper may request Houston to receive quantities of Gas from or for the account of Shipper at the Receipt Points set forth on Exhibit "A" attached hereto up to the Maximum Daily Transportation Quantity of 170,000 MMBtu per Day and transport such Gas to or for the account of Shipper to the Delivery Points set forth in Exhibit "B" attached hereto.  Such Gas shall be transported on a fully interruptible basis.</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Receipt Points and Delivery Points</w:t>
      </w:r>
    </w:p>
    <w:p>
      <w:pPr>
        <w:pStyle w:val="Normal"/>
        <w:widowControl/>
        <w:spacing w:before="0" w:after="120"/>
        <w:ind w:firstLine="720" w:end="0"/>
        <w:rPr/>
      </w:pPr>
      <w:r>
        <w:rPr/>
        <w:t>The Receipt Points for all Gas delivered or caused to be delivered by Shipper to Houston for transportation hereunder shall be at such mutually agreeable existing points on Houston's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pPr>
      <w:r>
        <w:rPr/>
        <w:t>The Delivery Points for all Gas that Houston transports or causes to be redelivered for the account of Shipper hereunder shall be at such mutually agreeable existing points on Houston's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Term</w:t>
      </w:r>
    </w:p>
    <w:p>
      <w:pPr>
        <w:pStyle w:val="Normal"/>
        <w:widowControl/>
        <w:ind w:firstLine="720" w:end="0"/>
        <w:rPr/>
      </w:pPr>
      <w:r>
        <w:rPr/>
        <w:t>This Agreement shall become effective as of the date first hereinabove written, and shall continue in full force and effect for a period of twenty (20) years (the "Primary Term") and from year to year thereafter, unless terminated at the end of the Primary Term or any such subsequent year by either Party providing written notice to the other Party at least 30 Days prior to the effective date of such termination.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Fee</w:t>
      </w:r>
    </w:p>
    <w:p>
      <w:pPr>
        <w:pStyle w:val="Normal"/>
        <w:widowControl/>
        <w:spacing w:before="0" w:after="120"/>
        <w:ind w:firstLine="720" w:end="0"/>
        <w:rPr/>
      </w:pPr>
      <w:r>
        <w:rPr/>
        <w:t>a.</w:t>
        <w:tab/>
        <w:t>Shipper shall pay Houston a fee for all Gas received hereunder at the Receipt Points ("Receipt Fee") and a fee for all Gas delivered hereunder at the Delivery Points ("Delivery Fee").  The combined Receipt Fee and Delivery Fee for each MMBtu of Gas transported hereunder during a Month shall be (i) the rate(s) per MMBtu agreed to in any manner permitted by the terms of this Agreement with respect to each individual transportation transaction performed</w:t>
      </w:r>
      <w:r>
        <w:rPr>
          <w:b/>
        </w:rPr>
        <w:t xml:space="preserve"> </w:t>
      </w:r>
      <w:r>
        <w:rPr/>
        <w:t>by Houston on behalf of Shipper under this Agreement up to a maximum of twenty-four cents (24¢) per MMBtu if this Agreement is either an NGPA Section 311 Agreement or a Section 284.227 Agreement, or (ii) the rate(s) per MMBtu agreed to in any manner permitted by the terms of this Agreement with respect to each individual transportation transaction  performed by Houston on behalf of Shipper under this Agreement if this Agreement is an Intrastate Agreement</w:t>
      </w:r>
      <w:r>
        <w:rPr>
          <w:b/>
        </w:rPr>
        <w:t>.</w:t>
      </w:r>
      <w:r>
        <w:rPr/>
        <w:t xml:space="preserve"> The term "Inside FERC Delivered Spot-Gas Price" as used herein, to be used in pricing for a Month, means the Index (Most Frequently Reported Price) Delivered Spot-Gas Price (per MMBtu) for Houston Ship Channel/Beaumont, Texas area large volume (at least 3,500 Mcf per Day) deliveries for the current Month stated on an MMBtu basis.  Such Inside FERC Delivered Spot-Gas Price for the Month is currently found in McGraw-Hill, Inc.'s Inside FERC Gas Market Report published every other Friday.  The values contained in the first publication of such Inside FERC Delivered Spot-Gas Price for the Month shall be used for such Month.  If such publication should cease to publish the Inside FERC Delivered Spot-Gas Price, a mutually agreeable substitute publication for Houston Ship Channel/Beaumont, Texas area delivered spot index price purchases shall be used, if available.  Houston shall have the right at any time and from time to time to change the transportation fee to be paid by Shipper to Houston under this Agreement upon not less than seven (7) Days notice prior to the beginning of any Month.  Such notice to be confirmed by Houston to Shipper in writing and the receipt and acceptance thereof shall be acknowledged by Shipper in writing and returned to Houston.  In the event Shipper fails to execute and return Houston's written communication within ten (10) Days of receipt thereof, then Houston shall have the right to suspend the transportation of Gas hereunder until such acknowledgment is returned to Houston.</w:t>
      </w:r>
    </w:p>
    <w:p>
      <w:pPr>
        <w:pStyle w:val="Normal"/>
        <w:widowControl/>
        <w:spacing w:before="0" w:after="120"/>
        <w:ind w:firstLine="720" w:end="0"/>
        <w:rPr/>
      </w:pPr>
      <w:r>
        <w:rPr/>
        <w:t>b.</w:t>
        <w:tab/>
        <w:t>Houston may at any time and from time to time agree to adjust the Receipt Fee and/or Delivery Fee at one or more points under this Agreement to a discounted fee for a specified term.  Such discounted fee(s) may be communicated to Shipper in any manner permitted under this Agreement, including the use of Houston's Monthly invoice or the form of Exhibit "C" attached hereto.</w:t>
      </w:r>
    </w:p>
    <w:p>
      <w:pPr>
        <w:pStyle w:val="Normal"/>
        <w:widowControl/>
        <w:ind w:firstLine="720" w:end="0"/>
        <w:rPr/>
      </w:pPr>
      <w:r>
        <w:rPr/>
        <w:t>c.</w:t>
        <w:tab/>
        <w:t>If this Agreement is either an NGPA Section 311 Agreement or a Section 284.227 Agreement, the total amount payable by Shipper to Houston for transportation service hereunder for a Month shall in no event exceed an amount which is equal to the product of the total volume transported hereunder during such Month and Houston's maximum legal rate in effect from time to time pursuant to Section 311(a)(2) of the NGPA.</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Transportation Department</w:t>
            </w:r>
            <w:r>
              <w:rPr/>
              <w:t>:</w:t>
            </w:r>
          </w:p>
        </w:tc>
      </w:tr>
      <w:tr>
        <w:trPr/>
        <w:tc>
          <w:tcPr>
            <w:tcW w:w="3888" w:type="dxa"/>
            <w:tcBorders/>
          </w:tcPr>
          <w:p>
            <w:pPr>
              <w:pStyle w:val="Normal"/>
              <w:keepNext w:val="true"/>
              <w:widowControl/>
              <w:rPr/>
            </w:pPr>
            <w:r>
              <w:rPr/>
              <w:t>Rio Nogales Power Project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w:t>
            </w:r>
          </w:p>
        </w:tc>
        <w:tc>
          <w:tcPr>
            <w:tcW w:w="4590" w:type="dxa"/>
            <w:tcBorders/>
          </w:tcPr>
          <w:p>
            <w:pPr>
              <w:pStyle w:val="Normal"/>
              <w:keepNext w:val="true"/>
              <w:widowControl/>
              <w:rPr/>
            </w:pPr>
            <w:r>
              <w:rPr/>
              <w:t>Attn:  Vice President-Transportation</w:t>
            </w:r>
          </w:p>
        </w:tc>
      </w:tr>
      <w:tr>
        <w:trPr/>
        <w:tc>
          <w:tcPr>
            <w:tcW w:w="3888" w:type="dxa"/>
            <w:tcBorders/>
          </w:tcPr>
          <w:p>
            <w:pPr>
              <w:pStyle w:val="Normal"/>
              <w:keepNext w:val="true"/>
              <w:widowControl/>
              <w:rPr/>
            </w:pPr>
            <w:r>
              <w:rPr/>
              <w:t xml:space="preserve">250 West Pratt Street </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Baltimore Maryland 21201</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FAX No.:</w:t>
            </w:r>
          </w:p>
        </w:tc>
        <w:tc>
          <w:tcPr>
            <w:tcW w:w="4590" w:type="dxa"/>
            <w:tcBorders/>
          </w:tcPr>
          <w:p>
            <w:pPr>
              <w:pStyle w:val="Normal"/>
              <w:widowControl/>
              <w:rPr/>
            </w:pPr>
            <w:r>
              <w:rPr/>
              <w:t>FAX No.:  (713) 646-8416</w:t>
            </w:r>
          </w:p>
        </w:tc>
      </w:tr>
      <w:tr>
        <w:trPr/>
        <w:tc>
          <w:tcPr>
            <w:tcW w:w="3888" w:type="dxa"/>
            <w:tcBorders/>
          </w:tcPr>
          <w:p>
            <w:pPr>
              <w:pStyle w:val="Normal"/>
              <w:widowControl/>
              <w:rPr/>
            </w:pPr>
            <w:r>
              <w:rPr/>
              <w:t>Phone:</w:t>
            </w:r>
          </w:p>
        </w:tc>
        <w:tc>
          <w:tcPr>
            <w:tcW w:w="4590" w:type="dxa"/>
            <w:tcBorders/>
          </w:tcPr>
          <w:p>
            <w:pPr>
              <w:pStyle w:val="Normal"/>
              <w:widowControl/>
              <w:rPr/>
            </w:pPr>
            <w:r>
              <w:rPr/>
              <w:t>Phone:  (713) 853-6718</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rPr/>
            </w:pPr>
            <w:r>
              <w:rPr/>
              <w:t>Rio Nogales Power Project L.P.</w:t>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rPr/>
            </w:pPr>
            <w:r>
              <w:rPr/>
              <w:t>Attn:</w:t>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rPr/>
            </w:pPr>
            <w:r>
              <w:rPr/>
              <w:t xml:space="preserve">250 West Pratt Street </w:t>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rPr/>
            </w:pPr>
            <w:r>
              <w:rPr/>
              <w:t>Baltimore Maryland 21201</w:t>
            </w:r>
          </w:p>
        </w:tc>
        <w:tc>
          <w:tcPr>
            <w:tcW w:w="4590" w:type="dxa"/>
            <w:tcBorders/>
          </w:tcPr>
          <w:p>
            <w:pPr>
              <w:pStyle w:val="Normal"/>
              <w:keepNext w:val="true"/>
              <w:widowControl/>
              <w:rPr/>
            </w:pPr>
            <w:r>
              <w:rPr/>
              <w:t>Houston, Texas  77251-1188</w:t>
            </w:r>
          </w:p>
        </w:tc>
      </w:tr>
      <w:tr>
        <w:trPr/>
        <w:tc>
          <w:tcPr>
            <w:tcW w:w="3888" w:type="dxa"/>
            <w:tcBorders/>
          </w:tcPr>
          <w:p>
            <w:pPr>
              <w:pStyle w:val="Normal"/>
              <w:widowControl/>
              <w:rPr/>
            </w:pPr>
            <w:r>
              <w:rPr/>
              <w:t>FAX No.:</w:t>
            </w:r>
          </w:p>
        </w:tc>
        <w:tc>
          <w:tcPr>
            <w:tcW w:w="4590" w:type="dxa"/>
            <w:tcBorders/>
          </w:tcPr>
          <w:p>
            <w:pPr>
              <w:pStyle w:val="Normal"/>
              <w:widowControl/>
              <w:rPr/>
            </w:pPr>
            <w:r>
              <w:rPr/>
              <w:t>FAX No.:  (713) 646-2372</w:t>
            </w:r>
          </w:p>
        </w:tc>
      </w:tr>
      <w:tr>
        <w:trPr/>
        <w:tc>
          <w:tcPr>
            <w:tcW w:w="3888" w:type="dxa"/>
            <w:tcBorders/>
          </w:tcPr>
          <w:p>
            <w:pPr>
              <w:pStyle w:val="Normal"/>
              <w:widowControl/>
              <w:rPr/>
            </w:pPr>
            <w:r>
              <w:rPr/>
              <w:t>Phone:</w:t>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Warranties, Indemnifications</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If this Agreement is an Intrastate Agreement, 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Houston's or its designee's pipeline system, or any portion thereof, to the jurisdiction of the FERC or any successor authority under the NGA.</w:t>
      </w:r>
    </w:p>
    <w:p>
      <w:pPr>
        <w:pStyle w:val="Normal"/>
        <w:widowControl/>
        <w:spacing w:before="0" w:after="120"/>
        <w:ind w:firstLine="720" w:end="0"/>
        <w:rPr/>
      </w:pPr>
      <w:r>
        <w:rPr/>
        <w:t>c.</w:t>
        <w:tab/>
        <w:t>If this Agreement is an NGPA Section 311 Agreement, Shipper represents and warrants to Houston that (i) the transportation of Gas hereunder is "on behalf of" (A) Shipper, (B) the OBO Party(ies) as specified in Section 1 hereof within the context of Section 284.122 of Subpart C of the FERC's regulations, or (C) a "local distribution company served by an interstate pipeline" within the context of the NGPA and Subpart C of Part 284 of the FERC's regulations; and (ii) if the transportation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Houston, Shipper shall provide evidence satisfactory to Houston that the transportation to be provided hereunder is "on behalf of" a local distribution company served by an interstate pipeline or the OBO Party(ies), as applicable, and that such transportation otherwise qualifies as transportation pursuant to Section 311(a)(2) of the NGPA and the FERC's rules, regulations and orders thereunder.</w:t>
      </w:r>
    </w:p>
    <w:p>
      <w:pPr>
        <w:pStyle w:val="Normal"/>
        <w:widowControl/>
        <w:spacing w:before="0" w:after="120"/>
        <w:ind w:firstLine="720" w:end="0"/>
        <w:rPr/>
      </w:pPr>
      <w:r>
        <w:rPr/>
        <w:t>d.</w:t>
        <w:tab/>
        <w:t>If this Agreement is a Section 284.227 Agreement, Shipper represents and warrants to Houston for all Gas transported hereunder and delivered to Shipper or for its accounts that such Gas (i) has been produced in Federal waters adjacent to the state of Texas or offshore in an adjacent state; (ii) has been transported to the Receipt Point(s) by either (A) a gatherer that is not subject to regulation under the NGA, or (B) a combination of such a gatherer and an "intrastate pipeline" as such term is defined in the NGPA; and (iii) will ultimately be used by an end user in the state of Texas.</w:t>
      </w:r>
    </w:p>
    <w:p>
      <w:pPr>
        <w:pStyle w:val="Normal"/>
        <w:widowControl/>
        <w:spacing w:before="0" w:after="120"/>
        <w:ind w:firstLine="720" w:end="0"/>
        <w:rPr/>
      </w:pPr>
      <w:r>
        <w:rPr/>
        <w:t>e.</w:t>
        <w:tab/>
        <w:t>Houston shall have no obligation under this Agreement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8</w:t>
      </w:r>
      <w:r>
        <w:rPr/>
        <w:fldChar w:fldCharType="end"/>
      </w:r>
      <w:r>
        <w:rPr/>
        <w:tab/>
        <w:t>Attachments</w:t>
      </w:r>
    </w:p>
    <w:p>
      <w:pPr>
        <w:pStyle w:val="Normal"/>
        <w:widowControl/>
        <w:ind w:firstLine="720" w:end="0"/>
        <w:rPr/>
      </w:pPr>
      <w:r>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Heading1"/>
        <w:widowControl/>
        <w:ind w:hanging="0" w:start="0"/>
        <w:rPr/>
      </w:pPr>
      <w:r>
        <w:rPr/>
        <w:fldChar w:fldCharType="begin"/>
      </w:r>
      <w:r>
        <w:rPr/>
        <w:instrText xml:space="preserve"> SEQ AutoNr \* ARABIC </w:instrText>
      </w:r>
      <w:r>
        <w:rPr/>
        <w:fldChar w:fldCharType="separate"/>
      </w:r>
      <w:r>
        <w:rPr/>
        <w:t>9</w:t>
      </w:r>
      <w:r>
        <w:rPr/>
        <w:fldChar w:fldCharType="end"/>
      </w:r>
      <w:r>
        <w:rPr/>
        <w:tab/>
        <w:t>Other Terms and Conditions</w:t>
      </w:r>
    </w:p>
    <w:p>
      <w:pPr>
        <w:pStyle w:val="Normal"/>
        <w:widowControl/>
        <w:ind w:firstLine="720" w:end="0"/>
        <w:rPr/>
      </w:pPr>
      <w:r>
        <w:rPr/>
        <w:t>None.</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5040" w:leader="none"/>
          <w:tab w:val="left" w:pos="9180" w:leader="none"/>
        </w:tabs>
        <w:rPr/>
      </w:pPr>
      <w:r>
        <w:rPr/>
        <w:tab/>
        <w:t>Tom Martin</w:t>
      </w:r>
    </w:p>
    <w:p>
      <w:pPr>
        <w:pStyle w:val="Normal"/>
        <w:keepLines/>
        <w:widowControl/>
        <w:tabs>
          <w:tab w:val="clear" w:pos="720"/>
          <w:tab w:val="left" w:pos="5040" w:leader="none"/>
          <w:tab w:val="left" w:pos="9180" w:leader="none"/>
        </w:tabs>
        <w:rPr/>
      </w:pPr>
      <w:r>
        <w:rPr/>
        <w:tab/>
        <w:t>Vice President</w:t>
      </w:r>
    </w:p>
    <w:p>
      <w:pPr>
        <w:pStyle w:val="Normal"/>
        <w:keepLines/>
        <w:widowControl/>
        <w:tabs>
          <w:tab w:val="clear" w:pos="720"/>
          <w:tab w:val="left" w:pos="5040" w:leader="none"/>
          <w:tab w:val="left" w:pos="9180" w:leader="none"/>
        </w:tabs>
        <w:rPr/>
      </w:pPr>
      <w:r>
        <w:rPr/>
      </w:r>
    </w:p>
    <w:p>
      <w:pPr>
        <w:pStyle w:val="Normal"/>
        <w:keepLines/>
        <w:widowControl/>
        <w:tabs>
          <w:tab w:val="clear" w:pos="720"/>
          <w:tab w:val="left" w:pos="6480" w:leader="none"/>
          <w:tab w:val="left" w:pos="9180" w:leader="none"/>
        </w:tabs>
        <w:rPr/>
      </w:pPr>
      <w:r>
        <w:rPr/>
        <w:tab/>
        <w:t>"Houston"</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b/>
        </w:rPr>
      </w:pPr>
      <w:r>
        <w:rPr>
          <w:b/>
        </w:rPr>
        <w:tab/>
        <w:t>RIO NOGALES POWER PROJECT L.P.,</w:t>
      </w:r>
    </w:p>
    <w:p>
      <w:pPr>
        <w:pStyle w:val="Normal"/>
        <w:keepLines/>
        <w:widowControl/>
        <w:tabs>
          <w:tab w:val="clear" w:pos="720"/>
          <w:tab w:val="left" w:pos="4320" w:leader="none"/>
          <w:tab w:val="left" w:pos="9180" w:leader="none"/>
        </w:tabs>
        <w:rPr>
          <w:b/>
        </w:rPr>
      </w:pPr>
      <w:r>
        <w:rPr>
          <w:b/>
        </w:rPr>
        <w:tab/>
        <w:t xml:space="preserve">by its general partner, </w:t>
      </w:r>
    </w:p>
    <w:p>
      <w:pPr>
        <w:pStyle w:val="Normal"/>
        <w:keepLines/>
        <w:widowControl/>
        <w:tabs>
          <w:tab w:val="clear" w:pos="720"/>
          <w:tab w:val="left" w:pos="4320" w:leader="none"/>
          <w:tab w:val="left" w:pos="9180" w:leader="none"/>
        </w:tabs>
        <w:rPr>
          <w:b/>
        </w:rPr>
      </w:pPr>
      <w:r>
        <w:rPr>
          <w:b/>
        </w:rPr>
        <w:tab/>
        <w:t>RIO NOGALES I, INC.</w:t>
      </w:r>
    </w:p>
    <w:p>
      <w:pPr>
        <w:pStyle w:val="Normal"/>
        <w:keepLines/>
        <w:widowControl/>
        <w:tabs>
          <w:tab w:val="clear" w:pos="720"/>
          <w:tab w:val="left" w:pos="4320" w:leader="none"/>
          <w:tab w:val="left" w:pos="9180" w:leader="none"/>
        </w:tabs>
        <w:rPr>
          <w:b/>
        </w:rPr>
      </w:pPr>
      <w:r>
        <w:rPr>
          <w:b/>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Name: </w:t>
      </w:r>
      <w:r>
        <w:rPr>
          <w:u w:val="single"/>
        </w:rPr>
        <w:tab/>
        <w:tab/>
      </w:r>
      <w:r>
        <w:rPr/>
        <w:tab/>
        <w:t xml:space="preserve">Title: </w:t>
      </w:r>
      <w:r>
        <w:rPr>
          <w:u w:val="single"/>
        </w:rPr>
        <w:tab/>
        <w:tab/>
      </w:r>
    </w:p>
    <w:p>
      <w:pPr>
        <w:pStyle w:val="Normal"/>
        <w:keepLines/>
        <w:widowControl/>
        <w:tabs>
          <w:tab w:val="clear" w:pos="720"/>
          <w:tab w:val="left" w:pos="4320" w:leader="none"/>
          <w:tab w:val="left" w:pos="6480" w:leader="none"/>
          <w:tab w:val="left" w:pos="9180" w:leader="none"/>
        </w:tabs>
        <w:rPr>
          <w:u w:val="single"/>
        </w:rPr>
      </w:pPr>
      <w:r>
        <w:rPr>
          <w:u w:val="single"/>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6480" w:leader="none"/>
          <w:tab w:val="left" w:pos="9180" w:leader="none"/>
        </w:tabs>
        <w:rPr/>
      </w:pPr>
      <w:r>
        <w:rPr/>
        <w:tab/>
        <w:t>"Shipper"</w:t>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Interruptible Gas Transportation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firstLine="72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firstLine="72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firstLine="72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spacing w:before="0" w:after="120"/>
        <w:ind w:firstLine="720" w:end="0"/>
        <w:rPr/>
      </w:pPr>
      <w:r>
        <w:rPr/>
        <w:t>h.</w:t>
        <w:tab/>
      </w:r>
      <w:r>
        <w:rPr>
          <w:u w:val="single"/>
        </w:rPr>
        <w:t>Psia</w:t>
      </w:r>
      <w:r>
        <w:rPr/>
        <w:t>.  The term "psia" shall mean pounds per square inch absolute.</w:t>
      </w:r>
    </w:p>
    <w:p>
      <w:pPr>
        <w:pStyle w:val="Normal"/>
        <w:widowControl/>
        <w:spacing w:before="0" w:after="120"/>
        <w:ind w:firstLine="720" w:end="0"/>
        <w:rPr/>
      </w:pPr>
      <w:r>
        <w:rPr/>
        <w:t>i.</w:t>
        <w:tab/>
      </w:r>
      <w:r>
        <w:rPr>
          <w:u w:val="single"/>
        </w:rPr>
        <w:t>Interruptible</w:t>
      </w:r>
      <w:r>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Transportation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a.</w:t>
        <w:tab/>
        <w:t>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spacing w:before="0" w:after="120"/>
        <w:ind w:firstLine="720" w:end="0"/>
        <w:rPr/>
      </w:pPr>
      <w:r>
        <w:rPr/>
        <w:t>b.</w:t>
        <w:tab/>
      </w:r>
      <w:r>
        <w:rPr>
          <w:u w:val="single"/>
        </w:rPr>
        <w:t>Intra-Month Nominations</w:t>
      </w:r>
      <w:r>
        <w:rPr/>
        <w:t>.  Shipper’s first-of-the-Month Receipt Point, Delivery Point and quantity nominations for firm transportation are intended to be binding for the entire Month due to the operational difficulty of implementing intra-month changes.  Nevertheless, Transporter shall use reasonable efforts to accommodate intra-month nomination changes.</w:t>
      </w:r>
    </w:p>
    <w:p>
      <w:pPr>
        <w:pStyle w:val="Normal"/>
        <w:widowControl/>
        <w:spacing w:before="0" w:after="120"/>
        <w:ind w:firstLine="720" w:end="0"/>
        <w:rPr/>
      </w:pPr>
      <w:r>
        <w:rPr/>
        <w:t>c.</w:t>
        <w:tab/>
      </w:r>
      <w:r>
        <w:rPr>
          <w:u w:val="single"/>
        </w:rPr>
        <w:t>Intra-day Nominations</w:t>
      </w:r>
      <w:r>
        <w:rPr/>
        <w:t>.  Shipper’s first-of-the-Month Receipt Point, Delivery Point and quantity nominations for firm transportation are intended to be binding for the entire Month due to the operational difficulty of implementing intra-day changes.  Nevertheless, Transporter shall use reasonable efforts to accommodate intra-day nomination changes at those certain Receipt Points as specified in Exhibit "A" attached hereto.</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Normal"/>
        <w:widowControl/>
        <w:spacing w:before="0" w:after="120"/>
        <w:ind w:firstLine="720" w:end="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Normal"/>
        <w:widowControl/>
        <w:spacing w:before="0" w:after="120"/>
        <w:ind w:hanging="720" w:start="1440" w:end="720"/>
        <w:rPr/>
      </w:pPr>
      <w:r>
        <w:rPr/>
        <w:t>a.</w:t>
        <w:tab/>
        <w:t>Have a total heating value of not less than nine hundred fifty (950) British Thermal Units per cubic foot when saturated with wator vapor (gross basis);</w:t>
      </w:r>
    </w:p>
    <w:p>
      <w:pPr>
        <w:pStyle w:val="Normal"/>
        <w:widowContro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pPr>
      <w:r>
        <w:rPr/>
        <w:t>d.</w:t>
        <w:tab/>
        <w:t>Contain no more than two percent (2%) by volume of carbon dioxide, two tenths of one percent (0.2%) by volume of oxygen, and three percent (3%) by volume of total inerts;</w:t>
      </w:r>
    </w:p>
    <w:p>
      <w:pPr>
        <w:pStyle w:val="Normal"/>
        <w:widowControl/>
        <w:spacing w:before="0" w:after="120"/>
        <w:ind w:hanging="720" w:start="1440" w:end="720"/>
        <w:rPr/>
      </w:pPr>
      <w:r>
        <w:rPr/>
        <w:t>e.</w:t>
        <w:tab/>
        <w:t>Have a temperature of not more than one hundred twenty degrees Fahrenheit (120</w:t>
      </w:r>
      <w:r>
        <w:rPr>
          <w:rFonts w:eastAsia="Symbol" w:cs="Symbol" w:ascii="Symbol" w:hAnsi="Symbol"/>
        </w:rPr>
        <w:sym w:font="Symbol" w:char="f0b0"/>
      </w:r>
      <w:r>
        <w:rPr/>
        <w:t>F.) or less than forty degrees Fahrenheit (40</w:t>
      </w:r>
      <w:r>
        <w:rPr>
          <w:rFonts w:eastAsia="Symbol" w:cs="Symbol" w:ascii="Symbol" w:hAnsi="Symbol"/>
        </w:rPr>
        <w:sym w:font="Symbol" w:char="f0b0"/>
      </w:r>
      <w:r>
        <w:rPr/>
        <w:t>F.);</w:t>
      </w:r>
    </w:p>
    <w:p>
      <w:pPr>
        <w:pStyle w:val="Normal"/>
        <w:widowControl/>
        <w:spacing w:before="0" w:after="120"/>
        <w:ind w:hanging="720" w:start="1440" w:end="720"/>
        <w:rPr/>
      </w:pPr>
      <w:r>
        <w:rPr/>
        <w:t>f.</w:t>
        <w:tab/>
        <w:t>Not contain more than seven (7) pounds of entrained water vapor per million cubic feet; and</w:t>
      </w:r>
    </w:p>
    <w:p>
      <w:pPr>
        <w:pStyle w:val="Normal"/>
        <w:widowControl/>
        <w:spacing w:before="0" w:after="120"/>
        <w:ind w:hanging="720" w:start="1440" w:end="720"/>
        <w:rPr/>
      </w:pPr>
      <w:r>
        <w:rPr/>
        <w:t>g.</w:t>
        <w:tab/>
        <w:t>Have a hydrocarbon dewpoint of 45˚F or less at pipeline operating pressures between 200 psig and 1100 psig.</w:t>
      </w:r>
    </w:p>
    <w:p>
      <w:pPr>
        <w:pStyle w:val="Normal"/>
        <w:widowControl/>
        <w:spacing w:before="0" w:after="120"/>
        <w:ind w:firstLine="720" w:end="0"/>
        <w:rPr/>
      </w:pPr>
      <w:r>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u w:val="single"/>
        </w:rPr>
        <w:t>times</w:t>
      </w:r>
      <w:r>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Transportation Quantity and the Maximum Daily Delivery Quantities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widowControl/>
        <w:numPr>
          <w:ilvl w:val="0"/>
          <w:numId w:val="2"/>
        </w:numPr>
        <w:tabs>
          <w:tab w:val="clear" w:pos="720"/>
          <w:tab w:val="left" w:pos="1080" w:leader="none"/>
        </w:tabs>
        <w:spacing w:before="0" w:after="120"/>
        <w:ind w:hanging="360" w:start="1080" w:end="0"/>
        <w:rPr>
          <w:color w:val="000000"/>
        </w:rPr>
      </w:pPr>
      <w:r>
        <w:rPr/>
        <w:t xml:space="preserve">      </w:t>
      </w: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b/>
          <w:color w:val="000000"/>
        </w:rPr>
        <w:t>the parties hereby waiving their rights, if any, to recover attorneys' fees and consequential, special, indirect, treble, exemplary or punitive damages with respect to this Agreement</w:t>
      </w:r>
      <w:r>
        <w:rPr>
          <w:color w:val="000000"/>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18.</w:t>
        <w:tab/>
      </w:r>
      <w:r>
        <w:rPr>
          <w:u w:val="single"/>
        </w:rPr>
        <w:t>Governmental Regulations</w:t>
      </w:r>
      <w:r>
        <w:rPr/>
        <w:t>.</w:t>
      </w:r>
    </w:p>
    <w:p>
      <w:pPr>
        <w:pStyle w:val="Normal"/>
        <w:widowControl/>
        <w:spacing w:before="0" w:after="120"/>
        <w:ind w:firstLine="720" w:end="0"/>
        <w:rPr/>
      </w:pPr>
      <w:r>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numPr>
          <w:ilvl w:val="0"/>
          <w:numId w:val="4"/>
        </w:numPr>
        <w:tabs>
          <w:tab w:val="clear" w:pos="720"/>
          <w:tab w:val="left" w:pos="1440" w:leader="none"/>
        </w:tabs>
        <w:spacing w:before="0" w:after="120"/>
        <w:ind w:hanging="720" w:start="1440" w:end="0"/>
        <w:rPr/>
      </w:pPr>
      <w:r>
        <w:rPr/>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pPr>
      <w:r>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pPr>
      <w:r>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transportation shippers, Houston shall have the right, at its option, to implement such cashout procedures under this Agreement in addition to or in replacement and substitution for the provisions of Sections 5 and 6 hereof.</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864"/>
          <w:pgNumType w:start="1" w:fmt="decimal"/>
          <w:formProt w:val="false"/>
          <w:textDirection w:val="lrTb"/>
          <w:docGrid w:type="default" w:linePitch="360" w:charSpace="0"/>
        </w:sectPr>
        <w:pStyle w:val="Normal"/>
        <w:widowControl/>
        <w:rPr/>
      </w:pPr>
      <w:r>
        <w:rPr/>
      </w:r>
    </w:p>
    <w:p>
      <w:pPr>
        <w:pStyle w:val="Normal"/>
        <w:widowControl/>
        <w:jc w:val="center"/>
        <w:rPr>
          <w:b/>
        </w:rPr>
      </w:pPr>
      <w:r>
        <w:rPr>
          <w:b/>
        </w:rPr>
        <w:t>EXHIBIT "A"</w:t>
      </w:r>
    </w:p>
    <w:p>
      <w:pPr>
        <w:pStyle w:val="Normal"/>
        <w:widowControl/>
        <w:jc w:val="center"/>
        <w:rPr/>
      </w:pPr>
      <w:r>
        <w:rPr/>
        <w:t>INTRASTATE AGREEMENT</w:t>
      </w:r>
    </w:p>
    <w:p>
      <w:pPr>
        <w:pStyle w:val="Normal"/>
        <w:widowControl/>
        <w:jc w:val="center"/>
        <w:rPr/>
      </w:pPr>
      <w:r>
        <w:rPr/>
        <w:t>Receipt Points to</w:t>
      </w:r>
    </w:p>
    <w:p>
      <w:pPr>
        <w:pStyle w:val="Normal"/>
        <w:widowControl/>
        <w:jc w:val="center"/>
        <w:rPr/>
      </w:pPr>
      <w:r>
        <w:rPr/>
        <w:t>Houston Pipe Line Company</w:t>
      </w:r>
    </w:p>
    <w:p>
      <w:pPr>
        <w:pStyle w:val="Normal"/>
        <w:widowControl/>
        <w:jc w:val="center"/>
        <w:rPr/>
      </w:pPr>
      <w:r>
        <w:rPr/>
        <w:t xml:space="preserve">Interruptible Gas Transportation Agreement </w:t>
      </w:r>
    </w:p>
    <w:p>
      <w:pPr>
        <w:pStyle w:val="Normal"/>
        <w:widowControl/>
        <w:jc w:val="center"/>
        <w:rPr/>
      </w:pPr>
      <w:r>
        <w:rPr/>
      </w:r>
    </w:p>
    <w:p>
      <w:pPr>
        <w:pStyle w:val="Normal"/>
        <w:widowControl/>
        <w:jc w:val="center"/>
        <w:rPr/>
      </w:pPr>
      <w:r>
        <w:rPr/>
      </w:r>
    </w:p>
    <w:p>
      <w:pPr>
        <w:pStyle w:val="Normal"/>
        <w:rPr/>
      </w:pPr>
      <w:r>
        <w:rPr>
          <w:u w:val="single"/>
        </w:rPr>
        <w:t>Receipt Point(s)</w:t>
      </w:r>
      <w:r>
        <w:rPr/>
        <w:t>:</w:t>
      </w:r>
    </w:p>
    <w:p>
      <w:pPr>
        <w:pStyle w:val="Normal"/>
        <w:jc w:val="start"/>
        <w:rPr/>
      </w:pPr>
      <w:r>
        <w:rPr/>
      </w:r>
    </w:p>
    <w:p>
      <w:pPr>
        <w:pStyle w:val="Normal"/>
        <w:numPr>
          <w:ilvl w:val="0"/>
          <w:numId w:val="3"/>
        </w:numPr>
        <w:tabs>
          <w:tab w:val="clear" w:pos="720"/>
          <w:tab w:val="left" w:pos="1230" w:leader="none"/>
        </w:tabs>
        <w:rPr/>
      </w:pPr>
      <w:r>
        <w:rPr/>
        <w:t>Agua Dulce-Lobo Pipeline, Houston Meter No. _____, ________ County, Texas. *</w:t>
      </w:r>
    </w:p>
    <w:p>
      <w:pPr>
        <w:pStyle w:val="Normal"/>
        <w:numPr>
          <w:ilvl w:val="0"/>
          <w:numId w:val="0"/>
        </w:numPr>
        <w:ind w:firstLine="720" w:start="0" w:end="0"/>
        <w:rPr/>
      </w:pPr>
      <w:r>
        <w:rPr/>
      </w:r>
    </w:p>
    <w:p>
      <w:pPr>
        <w:pStyle w:val="Normal"/>
        <w:numPr>
          <w:ilvl w:val="0"/>
          <w:numId w:val="3"/>
        </w:numPr>
        <w:tabs>
          <w:tab w:val="clear" w:pos="720"/>
          <w:tab w:val="left" w:pos="1230" w:leader="none"/>
        </w:tabs>
        <w:rPr/>
      </w:pPr>
      <w:r>
        <w:rPr/>
        <w:t>PG&amp;E Thompsonville, Houston Meter No. ______, ________ County, Texas. *</w:t>
      </w:r>
    </w:p>
    <w:p>
      <w:pPr>
        <w:pStyle w:val="Normal"/>
        <w:numPr>
          <w:ilvl w:val="0"/>
          <w:numId w:val="0"/>
        </w:numPr>
        <w:ind w:hanging="0" w:start="0"/>
        <w:rPr/>
      </w:pPr>
      <w:r>
        <w:rPr/>
      </w:r>
    </w:p>
    <w:p>
      <w:pPr>
        <w:pStyle w:val="Normal"/>
        <w:numPr>
          <w:ilvl w:val="0"/>
          <w:numId w:val="3"/>
        </w:numPr>
        <w:tabs>
          <w:tab w:val="clear" w:pos="720"/>
          <w:tab w:val="left" w:pos="1230" w:leader="none"/>
        </w:tabs>
        <w:rPr/>
      </w:pPr>
      <w:r>
        <w:rPr/>
        <w:t>Katy-Exxon Tailgate, Houston Meter No. ______, ________ County, Texas.*</w:t>
      </w:r>
    </w:p>
    <w:p>
      <w:pPr>
        <w:pStyle w:val="Normal"/>
        <w:numPr>
          <w:ilvl w:val="0"/>
          <w:numId w:val="0"/>
        </w:numPr>
        <w:ind w:hanging="0" w:start="0"/>
        <w:rPr/>
      </w:pPr>
      <w:r>
        <w:rPr/>
      </w:r>
    </w:p>
    <w:p>
      <w:pPr>
        <w:pStyle w:val="Normal"/>
        <w:numPr>
          <w:ilvl w:val="0"/>
          <w:numId w:val="3"/>
        </w:numPr>
        <w:tabs>
          <w:tab w:val="clear" w:pos="720"/>
          <w:tab w:val="left" w:pos="1230" w:leader="none"/>
        </w:tabs>
        <w:rPr/>
      </w:pPr>
      <w:r>
        <w:rPr/>
        <w:t>PG&amp;E _____________, Houston Meter No. ______, ________ County, Texas. #</w:t>
      </w:r>
    </w:p>
    <w:p>
      <w:pPr>
        <w:pStyle w:val="Normal"/>
        <w:numPr>
          <w:ilvl w:val="0"/>
          <w:numId w:val="0"/>
        </w:numPr>
        <w:ind w:hanging="0" w:start="0"/>
        <w:rPr/>
      </w:pPr>
      <w:r>
        <w:rPr/>
      </w:r>
    </w:p>
    <w:p>
      <w:pPr>
        <w:pStyle w:val="Normal"/>
        <w:numPr>
          <w:ilvl w:val="0"/>
          <w:numId w:val="3"/>
        </w:numPr>
        <w:tabs>
          <w:tab w:val="clear" w:pos="720"/>
          <w:tab w:val="left" w:pos="1230" w:leader="none"/>
        </w:tabs>
        <w:rPr/>
      </w:pPr>
      <w:r>
        <w:rPr/>
        <w:t>Oaisis _________, Houston Meter No. ______, ________ County, Texas. #</w:t>
      </w:r>
    </w:p>
    <w:p>
      <w:pPr>
        <w:pStyle w:val="Normal"/>
        <w:numPr>
          <w:ilvl w:val="0"/>
          <w:numId w:val="0"/>
        </w:numPr>
        <w:ind w:hanging="0" w:start="0"/>
        <w:rPr/>
      </w:pPr>
      <w:r>
        <w:rPr/>
      </w:r>
    </w:p>
    <w:p>
      <w:pPr>
        <w:pStyle w:val="Normal"/>
        <w:numPr>
          <w:ilvl w:val="0"/>
          <w:numId w:val="3"/>
        </w:numPr>
        <w:tabs>
          <w:tab w:val="clear" w:pos="720"/>
          <w:tab w:val="left" w:pos="1230" w:leader="none"/>
        </w:tabs>
        <w:rPr/>
      </w:pPr>
      <w:r>
        <w:rPr/>
        <w:t>HPL (Interconnect of the existing and new HPL pipelines.) Houston Meter No. ______, ________ County, Texas. #</w:t>
      </w:r>
    </w:p>
    <w:p>
      <w:pPr>
        <w:pStyle w:val="Normal"/>
        <w:rPr/>
      </w:pPr>
      <w:r>
        <w:rPr/>
      </w:r>
    </w:p>
    <w:p>
      <w:pPr>
        <w:pStyle w:val="Normal"/>
        <w:rPr/>
      </w:pPr>
      <w:r>
        <w:rPr/>
      </w:r>
    </w:p>
    <w:p>
      <w:pPr>
        <w:pStyle w:val="BodyText2"/>
        <w:rPr/>
      </w:pPr>
      <w:r>
        <w:rPr/>
        <w:t xml:space="preserve">* </w:t>
        <w:tab/>
        <w:t xml:space="preserve">These points encompass flow through the new interconnect between the existing HPL pipeline commonly referred to as the ___________ and the new HPL pipeline called the _____________________ before delivery at the the Rio Nogales power plant meter (HPL Meter No. 0003).  </w:t>
      </w:r>
    </w:p>
    <w:p>
      <w:pPr>
        <w:pStyle w:val="BodyText2"/>
        <w:rPr/>
      </w:pPr>
      <w:r>
        <w:rPr/>
      </w:r>
    </w:p>
    <w:p>
      <w:pPr>
        <w:pStyle w:val="BodyText"/>
        <w:ind w:hanging="360" w:start="1080" w:end="0"/>
        <w:rPr>
          <w:sz w:val="24"/>
        </w:rPr>
      </w:pPr>
      <w:r>
        <w:rPr/>
        <w:t>#</w:t>
        <w:tab/>
        <w:t>Intra-day nominations are allowed at these Receipt Points pursuant to Section 3(c) of the General Terms and Conditions, attached hereto.</w:t>
      </w:r>
    </w:p>
    <w:p>
      <w:pPr>
        <w:pStyle w:val="Normal"/>
        <w:ind w:hanging="360" w:start="1080" w:end="0"/>
        <w:rPr>
          <w:sz w:val="24"/>
        </w:rPr>
      </w:pPr>
      <w:r>
        <w:rPr>
          <w:sz w:val="24"/>
        </w:rPr>
      </w:r>
    </w:p>
    <w:p>
      <w:pPr>
        <w:pStyle w:val="Normal"/>
        <w:ind w:hanging="360" w:start="1080" w:end="0"/>
        <w:rPr/>
      </w:pPr>
      <w:r>
        <w:rPr/>
      </w:r>
    </w:p>
    <w:p>
      <w:pPr>
        <w:pStyle w:val="BodyTextIndent"/>
        <w:ind w:hanging="0" w:start="0" w:end="0"/>
        <w:rPr/>
      </w:pPr>
      <w:r>
        <w:rPr/>
      </w:r>
    </w:p>
    <w:p>
      <w:pPr>
        <w:pStyle w:val="Normal"/>
        <w:widowControl/>
        <w:ind w:hanging="864" w:start="864" w:end="0"/>
        <w:rPr/>
      </w:pPr>
      <w:r>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864"/>
          <w:pgNumType w:fmt="decimal"/>
          <w:formProt w:val="false"/>
          <w:textDirection w:val="lrTb"/>
          <w:docGrid w:type="default" w:linePitch="360" w:charSpace="0"/>
        </w:sectPr>
        <w:pStyle w:val="Normal"/>
        <w:widowControl/>
        <w:rPr>
          <w:u w:val="single"/>
        </w:rPr>
      </w:pPr>
      <w:r>
        <w:rPr>
          <w:u w:val="single"/>
        </w:rPr>
      </w:r>
    </w:p>
    <w:p>
      <w:pPr>
        <w:pStyle w:val="Normal"/>
        <w:widowControl/>
        <w:ind w:hanging="864" w:start="864" w:end="0"/>
        <w:jc w:val="center"/>
        <w:rPr>
          <w:b/>
        </w:rPr>
      </w:pPr>
      <w:r>
        <w:rPr>
          <w:b/>
        </w:rPr>
        <w:t>EXHIBIT "B"</w:t>
      </w:r>
    </w:p>
    <w:p>
      <w:pPr>
        <w:pStyle w:val="Normal"/>
        <w:widowControl/>
        <w:jc w:val="center"/>
        <w:rPr/>
      </w:pPr>
      <w:r>
        <w:rPr/>
        <w:t>INTRASTATE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r>
    </w:p>
    <w:p>
      <w:pPr>
        <w:pStyle w:val="Normal"/>
        <w:widowControl/>
        <w:jc w:val="center"/>
        <w:rPr/>
      </w:pPr>
      <w:r>
        <w:rPr/>
      </w:r>
    </w:p>
    <w:p>
      <w:pPr>
        <w:pStyle w:val="Normal"/>
        <w:widowControl/>
        <w:rPr>
          <w:u w:val="single"/>
        </w:rPr>
      </w:pPr>
      <w:r>
        <w:rPr>
          <w:u w:val="single"/>
        </w:rPr>
        <w:t>Delivery Point(s)</w:t>
      </w:r>
    </w:p>
    <w:p>
      <w:pPr>
        <w:pStyle w:val="Normal"/>
        <w:widowControl/>
        <w:rPr/>
      </w:pPr>
      <w:r>
        <w:rPr/>
      </w:r>
    </w:p>
    <w:p>
      <w:pPr>
        <w:pStyle w:val="BodyTextIndent3"/>
        <w:rPr/>
      </w:pPr>
      <w:r>
        <w:rPr/>
        <w:t>1.</w:t>
        <w:tab/>
        <w:t>Rio Nogales Power Plant Site, Houston Meter No. 0003, ________ County, Texas.</w:t>
      </w:r>
    </w:p>
    <w:p>
      <w:pPr>
        <w:pStyle w:val="Normal"/>
        <w:widowControl/>
        <w:ind w:hanging="864" w:start="864" w:end="0"/>
        <w:rPr/>
      </w:pPr>
      <w:r>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rPr/>
      </w:pPr>
      <w:r>
        <w:rPr/>
      </w:r>
    </w:p>
    <w:p>
      <w:pPr>
        <w:pStyle w:val="Heading1"/>
        <w:widowControl/>
        <w:spacing w:before="0" w:after="0"/>
        <w:ind w:hanging="0" w:start="0"/>
        <w:rPr>
          <w:caps w:val="false"/>
          <w:smallCaps w:val="false"/>
        </w:rPr>
      </w:pPr>
      <w:r>
        <w:rPr>
          <w:caps w:val="false"/>
          <w:smallCaps w:val="false"/>
        </w:rPr>
        <w:t>EXHIBIT "C"</w:t>
      </w:r>
    </w:p>
    <w:p>
      <w:pPr>
        <w:pStyle w:val="Normal"/>
        <w:widowControl/>
        <w:jc w:val="center"/>
        <w:rPr/>
      </w:pPr>
      <w:r>
        <w:rPr/>
        <w:t>Discounted</w:t>
      </w:r>
    </w:p>
    <w:p>
      <w:pPr>
        <w:pStyle w:val="Normal"/>
        <w:widowControl/>
        <w:jc w:val="center"/>
        <w:rPr/>
      </w:pPr>
      <w:r>
        <w:rPr/>
        <w:t>Transportation Fees</w:t>
      </w:r>
    </w:p>
    <w:p>
      <w:pPr>
        <w:pStyle w:val="Normal"/>
        <w:widowControl/>
        <w:jc w:val="center"/>
        <w:rPr/>
      </w:pPr>
      <w:r>
        <w:rPr/>
        <w:t>to</w:t>
      </w:r>
    </w:p>
    <w:p>
      <w:pPr>
        <w:pStyle w:val="Normal"/>
        <w:widowControl/>
        <w:jc w:val="center"/>
        <w:rPr/>
      </w:pPr>
      <w:r>
        <w:rPr/>
        <w:t>Interruptible Gas Transportation Agreement</w:t>
      </w:r>
    </w:p>
    <w:p>
      <w:pPr>
        <w:pStyle w:val="Normal"/>
        <w:widowControl/>
        <w:jc w:val="center"/>
        <w:rPr/>
      </w:pPr>
      <w:r>
        <w:rPr/>
        <w:t>(Contract Number ___________) dated __________, 2000</w:t>
      </w:r>
    </w:p>
    <w:p>
      <w:pPr>
        <w:pStyle w:val="Normal"/>
        <w:widowControl/>
        <w:jc w:val="center"/>
        <w:rPr/>
      </w:pPr>
      <w:r>
        <w:rPr/>
        <w:t>between Houston Pipe Line Company, as Houston, and</w:t>
      </w:r>
    </w:p>
    <w:p>
      <w:pPr>
        <w:pStyle w:val="Normal"/>
        <w:widowControl/>
        <w:jc w:val="center"/>
        <w:rPr/>
      </w:pPr>
      <w:r>
        <w:rPr/>
        <w:t>Rio Nogales Power Project L.P., as Shipper</w:t>
      </w:r>
    </w:p>
    <w:p>
      <w:pPr>
        <w:pStyle w:val="Normal"/>
        <w:widowControl/>
        <w:jc w:val="center"/>
        <w:rPr/>
      </w:pPr>
      <w:r>
        <w:rPr/>
      </w:r>
    </w:p>
    <w:p>
      <w:pPr>
        <w:pStyle w:val="Normal"/>
        <w:widowContro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Receipt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Receipt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Delivery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Delivery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bl>
    <w:p>
      <w:pPr>
        <w:pStyle w:val="Normal"/>
        <w:widowControl/>
        <w:tabs>
          <w:tab w:val="clear" w:pos="720"/>
          <w:tab w:val="left" w:pos="4176" w:leader="none"/>
          <w:tab w:val="left" w:pos="6768" w:leader="none"/>
        </w:tabs>
        <w:rPr/>
      </w:pPr>
      <w:r>
        <w:rPr/>
      </w:r>
    </w:p>
    <w:sectPr>
      <w:headerReference w:type="default" r:id="rId20"/>
      <w:headerReference w:type="first" r:id="rId21"/>
      <w:footerReference w:type="default" r:id="rId22"/>
      <w:footerReference w:type="first" r:id="rId2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/mnt/main-storage/datasets/enron-docs/doc/Rio_Nogales_PP_Intra.doc</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/mnt/main-storage/datasets/enron-docs/doc/Rio_Nogales_PP_Intra.doc</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/mnt/main-storage/datasets/enron-docs/doc/Rio_Nogales_PP_Intra.doc</w:t>
    </w:r>
    <w:r>
      <w:rPr>
        <w:sz w:val="16"/>
      </w:rPr>
      <w:fldChar w:fldCharType="end"/>
    </w:r>
    <w:r>
      <w:rPr/>
      <w:tab/>
    </w:r>
    <w:r>
      <w:rPr/>
      <w:fldChar w:fldCharType="begin"/>
    </w:r>
    <w:r>
      <w:rPr/>
      <w:instrText xml:space="preserve"> PAGE </w:instrText>
    </w:r>
    <w:r>
      <w:rPr/>
      <w:fldChar w:fldCharType="separate"/>
    </w:r>
    <w:r>
      <w:rPr/>
      <w:t>6</w:t>
    </w:r>
    <w:r>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/mnt/main-storage/datasets/enron-docs/doc/Rio_Nogales_PP_Intra.doc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left" w:pos="8640" w:leader="none"/>
      </w:tabs>
      <w:jc w:val="start"/>
      <w:rPr/>
    </w:pPr>
    <w:r>
      <w:rPr>
        <w:sz w:val="16"/>
      </w:rPr>
      <w:fldChar w:fldCharType="begin"/>
    </w:r>
    <w:r>
      <w:rPr>
        <w:sz w:val="16"/>
      </w:rPr>
      <w:instrText xml:space="preserve"> FILENAME \p </w:instrText>
    </w:r>
    <w:r>
      <w:rPr>
        <w:sz w:val="16"/>
      </w:rPr>
      <w:fldChar w:fldCharType="separate"/>
    </w:r>
    <w:r>
      <w:rPr>
        <w:sz w:val="16"/>
      </w:rPr>
      <w:t>/mnt/main-storage/datasets/enron-docs/doc/Rio_Nogales_PP_Intra.doc</w:t>
    </w:r>
    <w:r>
      <w:rPr>
        <w:sz w:val="16"/>
      </w:rPr>
      <w:fldChar w:fldCharType="end"/>
    </w:r>
    <w:r>
      <w:rPr>
        <w:sz w:val="18"/>
      </w:rPr>
      <w:tab/>
    </w:r>
    <w:r>
      <w:rPr/>
      <w:t>A -</w:t>
    </w:r>
    <w:r>
      <w:rPr>
        <w:sz w:val="20"/>
      </w:rPr>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11</w:t>
    </w:r>
    <w:r>
      <w:rPr>
        <w:rStyle w:val="PageNumber"/>
        <w:sz w:val="26"/>
      </w:rPr>
      <w:fldChar w:fldCharType="end"/>
    </w:r>
    <w:r>
      <w:rPr>
        <w:rStyle w:val="PageNumber"/>
        <w:sz w:val="26"/>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/mnt/main-storage/datasets/enron-docs/doc/Rio_Nogales_PP_Intra.doc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/mnt/main-storage/datasets/enron-docs/doc/Rio_Nogales_PP_Intra.doc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bCs/>
        <w:sz w:val="22"/>
      </w:rPr>
      <w:t>DRAFT</w:t>
    </w:r>
    <w:r>
      <w:rPr>
        <w:sz w:val="22"/>
      </w:rPr>
      <w:t xml:space="preserve">, </w:t>
    </w:r>
    <w:r>
      <w:rPr>
        <w:i/>
        <w:iCs/>
        <w:sz w:val="22"/>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start"/>
      <w:rPr/>
    </w:pPr>
    <w:r>
      <w:rPr>
        <w:b/>
        <w:bCs/>
        <w:sz w:val="22"/>
      </w:rPr>
      <w:t>DRAFT</w:t>
    </w:r>
    <w:r>
      <w:rPr>
        <w:sz w:val="22"/>
      </w:rPr>
      <w:t xml:space="preserve">, </w:t>
    </w:r>
    <w:r>
      <w:rPr>
        <w:i/>
        <w:iCs/>
        <w:sz w:val="22"/>
      </w:rPr>
      <w:t>For Discussion Purposes Only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start"/>
      <w:rPr/>
    </w:pPr>
    <w:r>
      <w:rPr>
        <w:b/>
        <w:bCs/>
        <w:sz w:val="22"/>
      </w:rPr>
      <w:t>DRAFT</w:t>
    </w:r>
    <w:r>
      <w:rPr>
        <w:sz w:val="22"/>
      </w:rPr>
      <w:t xml:space="preserve">, </w:t>
    </w:r>
    <w:r>
      <w:rPr>
        <w:i/>
        <w:iCs/>
        <w:sz w:val="22"/>
      </w:rPr>
      <w:t>For Discussion Purposes Only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start"/>
      <w:rPr/>
    </w:pPr>
    <w:r>
      <w:rPr>
        <w:b/>
        <w:bCs/>
        <w:sz w:val="22"/>
      </w:rPr>
      <w:t>DRAFT</w:t>
    </w:r>
    <w:r>
      <w:rPr>
        <w:sz w:val="22"/>
      </w:rPr>
      <w:t xml:space="preserve">, </w:t>
    </w:r>
    <w:r>
      <w:rPr>
        <w:i/>
        <w:iCs/>
        <w:sz w:val="22"/>
      </w:rPr>
      <w:t>For Discussion Purposes Only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start"/>
      <w:rPr/>
    </w:pPr>
    <w:r>
      <w:rPr>
        <w:b/>
        <w:bCs/>
        <w:sz w:val="22"/>
      </w:rPr>
      <w:t>DRAFT</w:t>
    </w:r>
    <w:r>
      <w:rPr>
        <w:sz w:val="22"/>
      </w:rPr>
      <w:t xml:space="preserve">, </w:t>
    </w:r>
    <w:r>
      <w:rPr>
        <w:i/>
        <w:iCs/>
        <w:sz w:val="22"/>
      </w:rPr>
      <w:t>For Discussion Purposes Only</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1080"/>
        </w:tabs>
        <w:ind w:start="1800" w:hanging="1080"/>
      </w:pPr>
    </w:lvl>
  </w:abstractNum>
  <w:abstractNum w:abstractNumId="3">
    <w:lvl w:ilvl="0">
      <w:start w:val="1"/>
      <w:numFmt w:val="decimal"/>
      <w:lvlText w:val="%1."/>
      <w:lvlJc w:val="start"/>
      <w:pPr>
        <w:tabs>
          <w:tab w:val="num" w:pos="870"/>
        </w:tabs>
        <w:ind w:start="1230" w:hanging="870"/>
      </w:pPr>
    </w:lvl>
  </w:abstractNum>
  <w:abstractNum w:abstractNumId="4">
    <w:lvl w:ilvl="0">
      <w:start w:val="2"/>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hanging="720" w:start="720" w:end="0"/>
    </w:pPr>
    <w:rPr/>
  </w:style>
  <w:style w:type="paragraph" w:styleId="BodyTextIndent2">
    <w:name w:val="Body Text Indent 2"/>
    <w:basedOn w:val="Normal"/>
    <w:qFormat/>
    <w:pPr>
      <w:widowControl/>
      <w:spacing w:before="0" w:after="120"/>
      <w:ind w:hanging="1440" w:start="2160" w:end="0"/>
    </w:pPr>
    <w:rPr/>
  </w:style>
  <w:style w:type="paragraph" w:styleId="BodyText2">
    <w:name w:val="Body Text 2"/>
    <w:basedOn w:val="Normal"/>
    <w:qFormat/>
    <w:pPr>
      <w:widowControl/>
      <w:overflowPunct w:val="false"/>
      <w:autoSpaceDE w:val="false"/>
      <w:ind w:hanging="360" w:start="1080" w:end="0"/>
      <w:textAlignment w:val="baseline"/>
    </w:pPr>
    <w:rPr/>
  </w:style>
  <w:style w:type="paragraph" w:styleId="BodyTextIndent3">
    <w:name w:val="Body Text Indent 3"/>
    <w:basedOn w:val="Normal"/>
    <w:qFormat/>
    <w:pPr>
      <w:widowControl/>
      <w:ind w:hanging="864" w:start="864"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2000-10-20T18:01:00Z</dcterms:created>
  <dc:creator>ECT</dc:creator>
  <dc:description>THIS IS A FORM</dc:description>
  <dc:language>en-CA</dc:language>
  <cp:lastModifiedBy>egillas</cp:lastModifiedBy>
  <cp:lastPrinted>2000-10-26T09:56:00Z</cp:lastPrinted>
  <dcterms:modified xsi:type="dcterms:W3CDTF">2000-10-26T16:08:00Z</dcterms:modified>
  <cp:revision>13</cp:revision>
  <dc:subject>HPL and _____________</dc:subject>
  <dc:title>Interruptible GTA</dc:title>
</cp:coreProperties>
</file>