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RIO NOGALES POWER PROJECT, L.P., a Delaware limited partnership, ("</w:t>
      </w:r>
      <w:r>
        <w:rPr>
          <w:rFonts w:cs="Arial Narrow" w:ascii="Arial Narrow" w:hAnsi="Arial Narrow"/>
          <w:sz w:val="18"/>
          <w:u w:val="single"/>
        </w:rPr>
        <w:t>RNP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(RNP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RNP intends to own and operate a electrical generation power plant and related facilities (the "</w:t>
      </w:r>
      <w:r>
        <w:rPr>
          <w:rFonts w:cs="Arial Narrow" w:ascii="Arial Narrow" w:hAnsi="Arial Narrow"/>
          <w:sz w:val="18"/>
          <w:u w:val="single"/>
        </w:rPr>
        <w:t>RNP Plant</w:t>
      </w:r>
      <w:r>
        <w:rPr>
          <w:rFonts w:cs="Arial Narrow" w:ascii="Arial Narrow" w:hAnsi="Arial Narrow"/>
          <w:sz w:val="18"/>
        </w:rPr>
        <w:t xml:space="preserve">") located in Guadalupe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RNP also intends to install, own and operate approximately 22 miles of 16-inch pipeline in Caldwell County and Guadalupe County, Texas, (the "</w:t>
      </w:r>
      <w:r>
        <w:rPr>
          <w:rFonts w:cs="Arial Narrow" w:ascii="Arial Narrow" w:hAnsi="Arial Narrow"/>
          <w:sz w:val="18"/>
          <w:u w:val="single"/>
        </w:rPr>
        <w:t>RNP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RNP and HPL desire to install, own, and operate a uni-directional natural gas meter station and associated piping to deliver natural gas from the HPL Pipeline to the RNP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10-inch uni-directional ultrasonic meter with piping capable for future bi-directional flow,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RNP Pipeline (the "</w:t>
      </w:r>
      <w:r>
        <w:rPr>
          <w:rFonts w:cs="Arial Narrow" w:ascii="Arial Narrow" w:hAnsi="Arial Narrow"/>
          <w:sz w:val="18"/>
          <w:u w:val="single"/>
        </w:rPr>
        <w:t>Interconnect</w:t>
      </w:r>
      <w:r>
        <w:rPr>
          <w:rFonts w:cs="Arial Narrow" w:ascii="Arial Narrow" w:hAnsi="Arial Narrow"/>
          <w:sz w:val="18"/>
        </w:rPr>
        <w:t>").  The Interconnect shall consist of the RNP Facilities, the HPL Operated Facilities, and the HPL Facilities, as defined below. The layout of the Interconnect between the RNP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30-inch HPL Pipeline, </w:t>
      </w:r>
      <w:r>
        <w:rPr>
          <w:rFonts w:cs="Arial Narrow" w:ascii="Arial Narrow" w:hAnsi="Arial Narrow"/>
          <w:sz w:val="18"/>
        </w:rPr>
        <w:t>HPL's EFM/SCADA and RTU equipment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RNP Ownership</w:t>
      </w:r>
      <w:r>
        <w:rPr>
          <w:rFonts w:cs="Arial Narrow" w:ascii="Arial Narrow" w:hAnsi="Arial Narrow"/>
          <w:sz w:val="18"/>
        </w:rPr>
        <w:t xml:space="preserve">. RNP shall own that portion of the Interconnect located on RNP’s side of the flange designated as the point of custody transfer as defined in Section 5(i) below which shall include (i) </w:t>
      </w:r>
      <w:r>
        <w:rPr>
          <w:rFonts w:cs="Arial Narrow" w:ascii="Arial Narrow" w:hAnsi="Arial Narrow"/>
          <w:color w:val="000000"/>
          <w:sz w:val="18"/>
        </w:rPr>
        <w:t xml:space="preserve">the OPP and piping from the RNP Pipeline to the downstream flange on the meter run (during flow from HPL to RNP) and RNP's EFM/SCADA and RTU equipment and communication equipment located on the meter run as shown on Exhibit "A" attached, </w:t>
      </w:r>
      <w:r>
        <w:rPr>
          <w:rFonts w:cs="Arial Narrow" w:ascii="Arial Narrow" w:hAnsi="Arial Narrow"/>
          <w:sz w:val="18"/>
        </w:rPr>
        <w:t>(the "</w:t>
      </w:r>
      <w:r>
        <w:rPr>
          <w:rFonts w:cs="Arial Narrow" w:ascii="Arial Narrow" w:hAnsi="Arial Narrow"/>
          <w:sz w:val="18"/>
          <w:u w:val="single"/>
        </w:rPr>
        <w:t>RNP Facilities</w:t>
      </w:r>
      <w:r>
        <w:rPr>
          <w:rFonts w:cs="Arial Narrow" w:ascii="Arial Narrow" w:hAnsi="Arial Narrow"/>
          <w:sz w:val="18"/>
        </w:rPr>
        <w:t xml:space="preserve">") and (ii) the 10-inch ultrasonic meter with piping capable for future bi-directional flow, the flow and/or pressure control valves and associated equipment, the chromatograph, </w:t>
      </w:r>
      <w:r>
        <w:rPr>
          <w:rFonts w:cs="Arial Narrow" w:ascii="Arial Narrow" w:hAnsi="Arial Narrow"/>
          <w:color w:val="000000"/>
          <w:sz w:val="18"/>
        </w:rPr>
        <w:t>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RNP Facilities shall be designed, installed and constructed by RNP or its designee in accordance with sound and prudent natural gas industry practice.  The HPL Operated Facilities shall be designed, installed and constructed by RNP or its designee in accordance with the Standards and with sound and prudent natural gas industry practice.  Prior to the commencement of construction, RNP shall submit all construction, material and equipment drawings and specifications to HPL for HPL’s approval which shall not be unreasonably withheld.  HPL shall review such drawings and specifications within twenty (20) days of receipt thereof.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RNP Pipeline.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RNP shall reimburse HPL for all reasonable and documented direct and indirect costs, including income tax gross-up, associated with the design, installation, procurement, and construction of the HPL Facilities.  HPL shall invoice RNP for such costs and RNP shall pay such invoice within 15 days of RNP’s receipt thereof.  RNP shall be responsible for all direct and indirect costs, associated with the design, installation, procurement, and construction of the RNP Facilities and HPL Operated Facilities.  Additionally, RNP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RNP flows less than 150,000 MMBTU through the Interconnect for such month.  If at any time the meter is changed to allow for bi-directional flow through the Interconnect such change shall be at RNP's sole cost and expense.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 shall obtain, at its sole cost and expense all easements and other land rights as shall be required for the construction and installation, and operation of the RNP Facilities, the HPL Operated Facilities and the HPL Facilities.  RNP shall obtain, at its sole cost and expense, the clearances, permits, licenses and authorizations for the construction, installation, maintenance and operation of the RNP Facilities and, as appropriate for the owner, the HPL Operated Facilities.  HPL shall obtain, at its sole cost and expense, the clearances, permits, licenses and authorizations for the construction, installation, maintenance and operation of the HPL Facilities and, as appropriate for the operator, the HPL Operated Facilities.  The Parties and/or their designees shall have access to each other's facilities at all reasonable times.  </w:t>
      </w:r>
    </w:p>
    <w:p>
      <w:pPr>
        <w:pStyle w:val="Heading2"/>
        <w:widowControl/>
        <w:rPr>
          <w:rFonts w:ascii="Arial Narrow" w:hAnsi="Arial Narrow" w:cs="Arial Narrow"/>
          <w:sz w:val="18"/>
        </w:rPr>
      </w:pPr>
      <w:r>
        <w:rPr>
          <w:rFonts w:cs="Arial Narrow" w:ascii="Arial Narrow" w:hAnsi="Arial Narrow"/>
          <w:sz w:val="18"/>
        </w:rPr>
        <w:t>5.</w:t>
        <w:tab/>
      </w:r>
      <w:r>
        <w:rPr>
          <w:rFonts w:cs="Arial Narrow" w:ascii="Arial Narrow" w:hAnsi="Arial Narrow"/>
          <w:color w:val="000000"/>
          <w:sz w:val="18"/>
          <w:szCs w:val="18"/>
          <w:u w:val="single"/>
        </w:rPr>
        <w:t>Operation</w:t>
      </w:r>
      <w:r>
        <w:rPr>
          <w:rFonts w:cs="Arial Narrow" w:ascii="Arial Narrow" w:hAnsi="Arial Narrow"/>
          <w:color w:val="000000"/>
          <w:sz w:val="18"/>
          <w:szCs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industry practice and shall be fully responsible for the routine operation and maintenance thereof and for all cost, expense and risk associated therewith, except RNP shall be fully responsible for any cost and expense associated with any repairs, maintenance, and capital expenditures that are in excess of $3,000.00 (escalated annually at the Consumer Price Index) for a single item (the "</w:t>
      </w:r>
      <w:r>
        <w:rPr>
          <w:rFonts w:cs="Arial Narrow" w:ascii="Arial Narrow" w:hAnsi="Arial Narrow"/>
          <w:color w:val="000000"/>
          <w:sz w:val="18"/>
          <w:szCs w:val="18"/>
          <w:u w:val="single"/>
        </w:rPr>
        <w:t>Maintenance Items</w:t>
      </w:r>
      <w:r>
        <w:rPr>
          <w:rFonts w:cs="Arial Narrow" w:ascii="Arial Narrow" w:hAnsi="Arial Narrow"/>
          <w:color w:val="000000"/>
          <w:sz w:val="18"/>
          <w:szCs w:val="18"/>
        </w:rPr>
        <w:t xml:space="preserve">").  HPL shall invoice RNP for the Maintenance Items performed by HPL on the HPL Operated Facilities, and RNP shall pay such invoice within 15 days of its receipt thereof.  RNP shall operate and maintain the RNP Facilities in accordance with sound and prudent natural gas industry practice and shall be fully responsible for the routine operation and maintenance thereof and for all cost and expense associated therewith.  RNP shall be responsible for any Meter Fee assessed, as defined in Section 3 above, and for the electric power and phone service,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Operated Facilities by HPL or its designee shall include operation of the uni-directional ultrasonic meter, or if installed, the bi-directional meter (the "</w:t>
      </w:r>
      <w:r>
        <w:rPr>
          <w:rFonts w:cs="Arial Narrow" w:ascii="Arial Narrow" w:hAnsi="Arial Narrow"/>
          <w:sz w:val="18"/>
          <w:u w:val="single"/>
        </w:rPr>
        <w:t>Meter</w:t>
      </w:r>
      <w:r>
        <w:rPr>
          <w:rFonts w:cs="Arial Narrow" w:ascii="Arial Narrow" w:hAnsi="Arial Narrow"/>
          <w:sz w:val="18"/>
        </w:rPr>
        <w:t>") and HPL shall give RNP twenty-four hour operational notice prior to any testing or calibrating of the Meter.  RNP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HPL has given such notice to RNP and RNP is not present at the time specified, then HPL may proceed with the tests as though RNP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The chromatograph shall be capable of analyzing the natural gas stream up to and including hexane (carbon 6).  </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RNP Facilities at pressures existing from time to time in the HPL Pipeline.  The RNP Facilities include OPP equipment which shall be set at a pressure not to exceed the MAOP of the RNP Pipeline as it may be modified from time to time.  The HPL Operated Facilities shall be designed to allow for the future installation of OPP equipment at such time bi-directional facilities are installed, and such OPP equipment shall be set at a pressure not to exceed the MAOP of the HPL Pipeline as it may be modified from time to time.  RNP shall deliver the gas to the HPL Facilities at pressure sufficient to effectuate deliveries at pressures existing in the HPL Pipeline from time to time.  Each Party shall properly operate, maintain, inspect, test, and document its respective OPP devices on an annual basis and shall provide such documentation to the other Party if requested. </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RNP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RNP.  The costs of such odorization shall be borne solely by RNP.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Partners,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RNP: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r>
    </w:p>
    <w:p>
      <w:pPr>
        <w:pStyle w:val="Normal"/>
        <w:widowControl/>
        <w:autoSpaceDE w:val="false"/>
        <w:rPr>
          <w:rFonts w:ascii="Arial Narrow" w:hAnsi="Arial Narrow" w:cs="Arial"/>
          <w:sz w:val="18"/>
        </w:rPr>
      </w:pPr>
      <w:r>
        <w:rPr>
          <w:rFonts w:cs="Arial Narrow" w:ascii="Arial Narrow" w:hAnsi="Arial Narrow"/>
          <w:sz w:val="18"/>
        </w:rPr>
        <w:t>1400 Smith St.</w:t>
        <w:tab/>
        <w:tab/>
      </w:r>
      <w:r>
        <w:rPr>
          <w:rFonts w:cs="Arial" w:ascii="Arial Narrow" w:hAnsi="Arial Narrow"/>
          <w:sz w:val="18"/>
        </w:rPr>
        <w:tab/>
      </w:r>
      <w:r>
        <w:rPr>
          <w:rFonts w:cs="Arial" w:ascii="Arial Narrow" w:hAnsi="Arial Narrow"/>
          <w:color w:val="000000"/>
          <w:sz w:val="18"/>
        </w:rPr>
        <w:t>711 Rio Nogales Drive</w:t>
      </w:r>
    </w:p>
    <w:p>
      <w:pPr>
        <w:pStyle w:val="Normal"/>
        <w:widowControl/>
        <w:rPr/>
      </w:pPr>
      <w:r>
        <w:rPr>
          <w:rFonts w:cs="Arial" w:ascii="Arial Narrow" w:hAnsi="Arial Narrow"/>
          <w:sz w:val="18"/>
        </w:rPr>
        <w:t>Houston, Texas 77002-7361</w:t>
        <w:tab/>
        <w:tab/>
      </w:r>
      <w:r>
        <w:rPr>
          <w:rFonts w:cs="Arial" w:ascii="Arial Narrow" w:hAnsi="Arial Narrow"/>
          <w:color w:val="000000"/>
          <w:sz w:val="18"/>
        </w:rPr>
        <w:t>Seguin, Texas 78156</w:t>
      </w:r>
    </w:p>
    <w:p>
      <w:pPr>
        <w:pStyle w:val="Normal"/>
        <w:widowControl/>
        <w:rPr>
          <w:rFonts w:ascii="Arial Narrow" w:hAnsi="Arial Narrow" w:cs="Arial"/>
          <w:sz w:val="18"/>
        </w:rPr>
      </w:pPr>
      <w:r>
        <w:rPr>
          <w:rFonts w:cs="Arial" w:ascii="Arial Narrow" w:hAnsi="Arial Narrow"/>
          <w:color w:val="000000"/>
          <w:sz w:val="18"/>
        </w:rPr>
        <w:tab/>
        <w:tab/>
        <w:tab/>
        <w:tab/>
        <w:t>Attention: Site Manager</w:t>
      </w:r>
    </w:p>
    <w:p>
      <w:pPr>
        <w:pStyle w:val="Normal"/>
        <w:widowControl/>
        <w:rPr>
          <w:rFonts w:ascii="Arial Narrow" w:hAnsi="Arial Narrow" w:cs="Arial"/>
          <w:sz w:val="18"/>
        </w:rPr>
      </w:pPr>
      <w:r>
        <w:rPr>
          <w:rFonts w:cs="Arial" w:ascii="Arial Narrow" w:hAnsi="Arial Narrow"/>
          <w:sz w:val="18"/>
        </w:rPr>
        <w:t>Attention:  Natural Gas Assets</w:t>
        <w:tab/>
        <w:tab/>
        <w:t xml:space="preserve">Facsimile Number: </w:t>
      </w:r>
      <w:r>
        <w:rPr>
          <w:rFonts w:cs="Arial" w:ascii="Arial Narrow" w:hAnsi="Arial Narrow"/>
          <w:color w:val="000000"/>
          <w:sz w:val="18"/>
        </w:rPr>
        <w:t xml:space="preserve">(830) 303-0425 </w:t>
      </w:r>
    </w:p>
    <w:p>
      <w:pPr>
        <w:pStyle w:val="Normal"/>
        <w:widowControl/>
        <w:rPr>
          <w:rFonts w:ascii="Arial" w:hAnsi="Arial" w:cs="Arial"/>
          <w:sz w:val="18"/>
        </w:rPr>
      </w:pPr>
      <w:r>
        <w:rPr>
          <w:rFonts w:cs="Arial" w:ascii="Arial Narrow" w:hAnsi="Arial Narrow"/>
          <w:sz w:val="18"/>
        </w:rPr>
        <w:t>Facsimile Number:  (713) 345-7040</w:t>
        <w:tab/>
        <w:t xml:space="preserve">Phone Number: </w:t>
      </w:r>
      <w:r>
        <w:rPr>
          <w:rFonts w:cs="Arial" w:ascii="Arial Narrow" w:hAnsi="Arial Narrow"/>
          <w:color w:val="000000"/>
          <w:sz w:val="18"/>
        </w:rPr>
        <w:t>(830) 379-3850</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Rio Nogales Power Project, L.P.</w:t>
      </w:r>
    </w:p>
    <w:p>
      <w:pPr>
        <w:pStyle w:val="Normal"/>
        <w:widowControl/>
        <w:autoSpaceDE w:val="false"/>
        <w:rPr>
          <w:rFonts w:ascii="Arial Narrow" w:hAnsi="Arial Narrow" w:cs="Arial"/>
          <w:sz w:val="18"/>
        </w:rPr>
      </w:pPr>
      <w:r>
        <w:rPr>
          <w:rFonts w:cs="Arial Narrow" w:ascii="Arial Narrow" w:hAnsi="Arial Narrow"/>
          <w:b/>
          <w:sz w:val="18"/>
        </w:rPr>
        <w:tab/>
        <w:tab/>
        <w:tab/>
        <w:tab/>
      </w:r>
      <w:r>
        <w:rPr>
          <w:rFonts w:cs="Arial" w:ascii="Arial Narrow" w:hAnsi="Arial Narrow"/>
          <w:color w:val="000000"/>
          <w:sz w:val="18"/>
        </w:rPr>
        <w:t>711 Rio Nogales Drive</w:t>
      </w:r>
    </w:p>
    <w:p>
      <w:pPr>
        <w:pStyle w:val="Normal"/>
        <w:widowControl/>
        <w:ind w:firstLine="720" w:start="720" w:end="0"/>
        <w:rPr/>
      </w:pPr>
      <w:r>
        <w:rPr>
          <w:rFonts w:cs="Arial" w:ascii="Arial Narrow" w:hAnsi="Arial Narrow"/>
          <w:sz w:val="18"/>
        </w:rPr>
        <w:tab/>
        <w:tab/>
      </w:r>
      <w:r>
        <w:rPr>
          <w:rFonts w:cs="Arial" w:ascii="Arial Narrow" w:hAnsi="Arial Narrow"/>
          <w:color w:val="000000"/>
          <w:sz w:val="18"/>
        </w:rPr>
        <w:t>Seguin, Texas 78156</w:t>
      </w:r>
    </w:p>
    <w:p>
      <w:pPr>
        <w:pStyle w:val="Normal"/>
        <w:widowControl/>
        <w:ind w:firstLine="720" w:start="720" w:end="0"/>
        <w:rPr>
          <w:rFonts w:ascii="Arial Narrow" w:hAnsi="Arial Narrow" w:cs="Arial"/>
          <w:sz w:val="18"/>
        </w:rPr>
      </w:pPr>
      <w:r>
        <w:rPr>
          <w:rFonts w:cs="Arial" w:ascii="Arial Narrow" w:hAnsi="Arial Narrow"/>
          <w:color w:val="000000"/>
          <w:sz w:val="18"/>
        </w:rPr>
        <w:tab/>
        <w:tab/>
        <w:t>Attention: Plant Manager</w:t>
      </w:r>
    </w:p>
    <w:p>
      <w:pPr>
        <w:pStyle w:val="Normal"/>
        <w:widowControl/>
        <w:ind w:firstLine="720" w:start="720" w:end="0"/>
        <w:rPr>
          <w:rFonts w:ascii="Arial Narrow" w:hAnsi="Arial Narrow" w:cs="Arial"/>
          <w:sz w:val="18"/>
        </w:rPr>
      </w:pPr>
      <w:r>
        <w:rPr>
          <w:rFonts w:cs="Arial" w:ascii="Arial Narrow" w:hAnsi="Arial Narrow"/>
          <w:sz w:val="18"/>
        </w:rPr>
        <w:tab/>
        <w:tab/>
        <w:t xml:space="preserve">Facsimile Number: </w:t>
      </w:r>
      <w:r>
        <w:rPr>
          <w:rFonts w:cs="Arial" w:ascii="Arial Narrow" w:hAnsi="Arial Narrow"/>
          <w:color w:val="000000"/>
          <w:sz w:val="18"/>
        </w:rPr>
        <w:t>(830) 303-0425</w:t>
      </w:r>
    </w:p>
    <w:p>
      <w:pPr>
        <w:pStyle w:val="Normal"/>
        <w:widowControl/>
        <w:ind w:firstLine="720" w:start="1440" w:end="0"/>
        <w:rPr>
          <w:rFonts w:ascii="Arial Narrow" w:hAnsi="Arial Narrow" w:cs="Arial Narrow"/>
          <w:sz w:val="18"/>
        </w:rPr>
      </w:pPr>
      <w:r>
        <w:rPr>
          <w:rFonts w:cs="Arial" w:ascii="Arial Narrow" w:hAnsi="Arial Narrow"/>
          <w:sz w:val="18"/>
        </w:rPr>
        <w:tab/>
        <w:t xml:space="preserve">Phone Number: </w:t>
      </w:r>
      <w:r>
        <w:rPr>
          <w:rFonts w:cs="Arial" w:ascii="Arial Narrow" w:hAnsi="Arial Narrow"/>
          <w:color w:val="000000"/>
          <w:sz w:val="18"/>
        </w:rPr>
        <w:t>(830) 379-3850</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conditioned or delayed; provided that, a Party may sell, assign or transfer partially or wholly its interest in this Agreement to an affiliate without consent of the other Parties.  HPL's consent shall not be required for an assignment of this Agreement by RNP to PNG Utility Company.  Upon such assignment from RNP to PNG Utility Company, RNP shall be released from any further obligations, duties and liabilities under this Agreement (except for the reimbursement of HPL for the design, installation, procurement and construction of the HPL Facilities required by Section 3 hereof up to a maximum of $300,000.00), provided RNP provides HPL with prior written notice of such assignment to PNG Utility Company, and PNG Utility Company assumes all of RNP's obligations, duties and liabilities under this Agreement.  However, RNP shall not be released hereunder, from any obligations, duties and liabilities of RNP existing prior to the date of such assignment to PNG Utility Company.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RIO NOGALES POWER PROJECT, L.P., </w:t>
      </w:r>
      <w:r>
        <w:rPr>
          <w:rFonts w:cs="Arial Narrow" w:ascii="Arial Narrow" w:hAnsi="Arial Narrow"/>
          <w:bCs/>
          <w:sz w:val="18"/>
        </w:rPr>
        <w:t>by</w:t>
      </w:r>
      <w:r>
        <w:rPr>
          <w:rFonts w:cs="Arial Narrow" w:ascii="Arial Narrow" w:hAnsi="Arial Narrow"/>
          <w:b/>
          <w:sz w:val="18"/>
        </w:rPr>
        <w:tab/>
        <w:tab/>
        <w:tab/>
        <w:t>HOUSTON PIPE LINE COMPANY</w:t>
      </w:r>
    </w:p>
    <w:p>
      <w:pPr>
        <w:pStyle w:val="Normal"/>
        <w:widowControl/>
        <w:jc w:val="both"/>
        <w:rPr/>
      </w:pPr>
      <w:r>
        <w:rPr>
          <w:rFonts w:cs="Arial Narrow" w:ascii="Arial Narrow" w:hAnsi="Arial Narrow"/>
          <w:b/>
          <w:bCs/>
          <w:color w:val="000000"/>
          <w:sz w:val="18"/>
        </w:rPr>
        <w:t>RIO NOGALES I, INC.</w:t>
      </w:r>
      <w:r>
        <w:rPr>
          <w:color w:val="000000"/>
          <w:sz w:val="18"/>
        </w:rPr>
        <w:t xml:space="preserve">, </w:t>
      </w:r>
      <w:r>
        <w:rPr>
          <w:rFonts w:cs="Arial Narrow" w:ascii="Arial Narrow" w:hAnsi="Arial Narrow"/>
          <w:bCs/>
          <w:sz w:val="18"/>
        </w:rPr>
        <w:t xml:space="preserve">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Rio_NogalesPP_ICA_4_3_01.doc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2001-04-03T14:04:00Z</dcterms:created>
  <dc:creator>ECT</dc:creator>
  <dc:description/>
  <dc:language>en-CA</dc:language>
  <cp:lastModifiedBy>egillas</cp:lastModifiedBy>
  <cp:lastPrinted>2001-04-03T10:47:00Z</cp:lastPrinted>
  <dcterms:modified xsi:type="dcterms:W3CDTF">2001-04-03T14:08:00Z</dcterms:modified>
  <cp:revision>3</cp:revision>
  <dc:subject/>
  <dc:title>Letter format</dc:title>
</cp:coreProperties>
</file>