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val="false"/>
          <w:i w:val="false"/>
        </w:rPr>
      </w:pPr>
      <w:r>
        <w:rPr>
          <w:i w:val="false"/>
        </w:rPr>
        <w:t>Summary of Terms and Conditions</w:t>
      </w:r>
    </w:p>
    <w:p>
      <w:pPr>
        <w:pStyle w:val="Normal"/>
        <w:jc w:val="center"/>
        <w:rPr>
          <w:b/>
          <w:sz w:val="28"/>
        </w:rPr>
      </w:pPr>
      <w:r>
        <w:rPr>
          <w:b/>
          <w:sz w:val="28"/>
        </w:rPr>
        <w:t>U.S.$[980,000,000] Construction Agency Agreement</w:t>
      </w:r>
    </w:p>
    <w:p>
      <w:pPr>
        <w:pStyle w:val="Heading3"/>
        <w:ind w:hanging="0" w:start="0"/>
        <w:rPr>
          <w:i w:val="false"/>
          <w:i w:val="false"/>
        </w:rPr>
      </w:pPr>
      <w:r>
        <w:rPr>
          <w:i w:val="false"/>
        </w:rPr>
        <w:t>for a Project in Brazil</w:t>
      </w:r>
    </w:p>
    <w:p>
      <w:pPr>
        <w:pStyle w:val="Normal"/>
        <w:rPr>
          <w:i/>
          <w:i/>
          <w:sz w:val="22"/>
        </w:rPr>
      </w:pPr>
      <w:r>
        <w:rPr>
          <w:i/>
          <w:sz w:val="22"/>
        </w:rPr>
      </w:r>
    </w:p>
    <w:p>
      <w:pPr>
        <w:pStyle w:val="Normal"/>
        <w:rPr>
          <w:i/>
          <w:i/>
          <w:sz w:val="22"/>
        </w:rPr>
      </w:pPr>
      <w:r>
        <w:rPr>
          <w:i/>
          <w:sz w:val="22"/>
        </w:rPr>
      </w:r>
    </w:p>
    <w:p>
      <w:pPr>
        <w:pStyle w:val="Heading1"/>
        <w:ind w:hanging="0" w:start="0"/>
        <w:rPr>
          <w:sz w:val="24"/>
        </w:rPr>
      </w:pPr>
      <w:r>
        <w:rPr>
          <w:sz w:val="24"/>
        </w:rPr>
        <w:t>Transaction Overview, Parties, Closing Date</w:t>
      </w:r>
    </w:p>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ESAT:</w:t>
            </w:r>
          </w:p>
        </w:tc>
        <w:tc>
          <w:tcPr>
            <w:tcW w:w="5760" w:type="dxa"/>
            <w:tcBorders/>
          </w:tcPr>
          <w:p>
            <w:pPr>
              <w:pStyle w:val="Normal"/>
              <w:jc w:val="both"/>
              <w:rPr>
                <w:sz w:val="22"/>
              </w:rPr>
            </w:pPr>
            <w:r>
              <w:rPr>
                <w:sz w:val="22"/>
              </w:rPr>
              <w:t>Enron South America Turbine LLC, a Delaware limited liability company that is a 100%, indirectly owned subsidiary of Enron</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Enron:</w:t>
            </w:r>
          </w:p>
        </w:tc>
        <w:tc>
          <w:tcPr>
            <w:tcW w:w="5760" w:type="dxa"/>
            <w:tcBorders/>
          </w:tcPr>
          <w:p>
            <w:pPr>
              <w:pStyle w:val="Normal"/>
              <w:jc w:val="both"/>
              <w:rPr>
                <w:sz w:val="22"/>
              </w:rPr>
            </w:pPr>
            <w:r>
              <w:rPr>
                <w:sz w:val="22"/>
              </w:rPr>
              <w:t>Enron Corp., an Oregon corporation.</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Developer:</w:t>
            </w:r>
          </w:p>
        </w:tc>
        <w:tc>
          <w:tcPr>
            <w:tcW w:w="5760" w:type="dxa"/>
            <w:tcBorders/>
          </w:tcPr>
          <w:p>
            <w:pPr>
              <w:pStyle w:val="Normal"/>
              <w:jc w:val="both"/>
              <w:rPr>
                <w:sz w:val="22"/>
              </w:rPr>
            </w:pPr>
            <w:r>
              <w:rPr>
                <w:sz w:val="22"/>
              </w:rPr>
              <w:t>[Developer Corp.], a bankruptcy remote, newly created, special purpose Delaware corporation, which is 100% owned by Developer Parent.</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Developer Parent:</w:t>
            </w:r>
          </w:p>
        </w:tc>
        <w:tc>
          <w:tcPr>
            <w:tcW w:w="5760" w:type="dxa"/>
            <w:tcBorders/>
          </w:tcPr>
          <w:p>
            <w:pPr>
              <w:pStyle w:val="Normal"/>
              <w:jc w:val="both"/>
              <w:rPr>
                <w:sz w:val="22"/>
              </w:rPr>
            </w:pPr>
            <w:r>
              <w:rPr>
                <w:sz w:val="22"/>
              </w:rPr>
              <w:t>[Developer Parent LLC], a bankruptcy remote, newly created, special purpose Delaware limited liability company, which is 100% owned by [Accommodation Party].</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[Accommodation Party]:</w:t>
            </w:r>
          </w:p>
        </w:tc>
        <w:tc>
          <w:tcPr>
            <w:tcW w:w="5760" w:type="dxa"/>
            <w:tcBorders/>
          </w:tcPr>
          <w:p>
            <w:pPr>
              <w:pStyle w:val="Normal"/>
              <w:jc w:val="both"/>
              <w:rPr>
                <w:sz w:val="22"/>
              </w:rPr>
            </w:pPr>
            <w:r>
              <w:rPr>
                <w:sz w:val="22"/>
              </w:rPr>
              <w:t xml:space="preserve">[Accommodation Party], the ultimate parent of Developer and Developer Parent, reasonably satisfactory to WestLB. </w:t>
            </w:r>
            <w:r>
              <w:rPr>
                <w:i/>
                <w:sz w:val="22"/>
              </w:rPr>
              <w:t>(identity of entity to be supplied by Enron)</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WestLB:</w:t>
            </w:r>
          </w:p>
        </w:tc>
        <w:tc>
          <w:tcPr>
            <w:tcW w:w="5760" w:type="dxa"/>
            <w:tcBorders/>
          </w:tcPr>
          <w:p>
            <w:pPr>
              <w:pStyle w:val="Normal"/>
              <w:jc w:val="both"/>
              <w:rPr>
                <w:sz w:val="22"/>
              </w:rPr>
            </w:pPr>
            <w:r>
              <w:rPr>
                <w:sz w:val="22"/>
              </w:rPr>
              <w:t>Westdeutsche Landesbank Girozentrale, New York Branch.</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Special Purpose Vehicles ("SPV's):</w:t>
            </w:r>
          </w:p>
        </w:tc>
        <w:tc>
          <w:tcPr>
            <w:tcW w:w="5760" w:type="dxa"/>
            <w:tcBorders/>
          </w:tcPr>
          <w:p>
            <w:pPr>
              <w:pStyle w:val="Normal"/>
              <w:jc w:val="both"/>
              <w:rPr>
                <w:sz w:val="22"/>
              </w:rPr>
            </w:pPr>
            <w:r>
              <w:rPr>
                <w:sz w:val="22"/>
              </w:rPr>
              <w:t>Cayman Co, BrazilCo Holdings, Brazil GenCos (all as defined below) and/or such other SPV's as Agent based on its due diligence shall determine to be necessary and/or advisable for the development of the Project .</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Cayman Co:</w:t>
            </w:r>
          </w:p>
        </w:tc>
        <w:tc>
          <w:tcPr>
            <w:tcW w:w="5760" w:type="dxa"/>
            <w:tcBorders/>
          </w:tcPr>
          <w:p>
            <w:pPr>
              <w:pStyle w:val="Normal"/>
              <w:jc w:val="both"/>
              <w:rPr>
                <w:sz w:val="22"/>
              </w:rPr>
            </w:pPr>
            <w:r>
              <w:rPr>
                <w:sz w:val="22"/>
              </w:rPr>
              <w:t xml:space="preserve">Cayman Co </w:t>
            </w:r>
            <w:r>
              <w:rPr>
                <w:i/>
                <w:sz w:val="22"/>
              </w:rPr>
              <w:t>(name, ownership and corporate structure to be determined by Enron)</w:t>
            </w:r>
            <w:r>
              <w:rPr>
                <w:sz w:val="22"/>
              </w:rPr>
              <w:t>, which is 100% owned by [Developer].</w:t>
            </w:r>
            <w:r>
              <w:rPr>
                <w:i/>
                <w:sz w:val="22"/>
              </w:rPr>
              <w:t xml:space="preserve"> </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BrazilCo Holdings:</w:t>
            </w:r>
          </w:p>
        </w:tc>
        <w:tc>
          <w:tcPr>
            <w:tcW w:w="5760" w:type="dxa"/>
            <w:tcBorders/>
          </w:tcPr>
          <w:p>
            <w:pPr>
              <w:pStyle w:val="Normal"/>
              <w:jc w:val="both"/>
              <w:rPr/>
            </w:pPr>
            <w:r>
              <w:rPr>
                <w:sz w:val="22"/>
              </w:rPr>
              <w:t xml:space="preserve">One or more BrazilCo  Holdings </w:t>
            </w:r>
            <w:r>
              <w:rPr>
                <w:i/>
                <w:sz w:val="22"/>
              </w:rPr>
              <w:t>(name, ownership and corporate structure to be determined by Enron)</w:t>
            </w:r>
            <w:r>
              <w:rPr>
                <w:sz w:val="22"/>
              </w:rPr>
              <w:t>, which  are 100% owned by Cayman Co.</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Brazil GenCos:</w:t>
            </w:r>
          </w:p>
        </w:tc>
        <w:tc>
          <w:tcPr>
            <w:tcW w:w="5760" w:type="dxa"/>
            <w:tcBorders/>
          </w:tcPr>
          <w:p>
            <w:pPr>
              <w:pStyle w:val="Normal"/>
              <w:jc w:val="both"/>
              <w:rPr/>
            </w:pPr>
            <w:r>
              <w:rPr>
                <w:sz w:val="22"/>
              </w:rPr>
              <w:t xml:space="preserve">For each Facility, a separate Brazil GenCo </w:t>
            </w:r>
            <w:r>
              <w:rPr>
                <w:i/>
                <w:sz w:val="22"/>
              </w:rPr>
              <w:t>(name, ownership and corporate structure to be determined by Enron)</w:t>
            </w:r>
            <w:r>
              <w:rPr>
                <w:sz w:val="22"/>
              </w:rPr>
              <w:t>, each of which is 100% owned by one or more BrazilCo Holdings.</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Project:</w:t>
            </w:r>
          </w:p>
        </w:tc>
        <w:tc>
          <w:tcPr>
            <w:tcW w:w="5760" w:type="dxa"/>
            <w:tcBorders/>
          </w:tcPr>
          <w:p>
            <w:pPr>
              <w:pStyle w:val="Normal"/>
              <w:jc w:val="both"/>
              <w:rPr>
                <w:b/>
                <w:sz w:val="22"/>
              </w:rPr>
            </w:pPr>
            <w:r>
              <w:rPr>
                <w:sz w:val="22"/>
              </w:rPr>
              <w:t>The Project is a portfolio of special purpose entities (the SPV's), power generating facilities owned directly or indirectly through such SPV's, and all associated contracts, rights and assets, which in order to achieve Project completion will achieve a Project aggregate minimum net electrical output of 1,163 MW, with interconnections to the [name of transmission grid] transmission system in the Federative Republic of Brazil, initially consisting of (i) the RioGen Facility, which is a natural-gas fired 500 MW combined cycle power plant (the “</w:t>
            </w:r>
            <w:r>
              <w:rPr>
                <w:sz w:val="22"/>
                <w:u w:val="single"/>
              </w:rPr>
              <w:t>RioGen Facility</w:t>
            </w:r>
            <w:r>
              <w:rPr>
                <w:sz w:val="22"/>
              </w:rPr>
              <w:t>”), (ii) the Elektrobolt Facility, which is a natural-gas fired 355 MW peaking power plant (the “</w:t>
            </w:r>
            <w:r>
              <w:rPr>
                <w:sz w:val="22"/>
                <w:u w:val="single"/>
              </w:rPr>
              <w:t>Elektrobolt Facility</w:t>
            </w:r>
            <w:r>
              <w:rPr>
                <w:sz w:val="22"/>
              </w:rPr>
              <w:t>”), and (iii) the Cuiaba Facility, which is a 308 MW simple cycle power plant (the “</w:t>
            </w:r>
            <w:r>
              <w:rPr>
                <w:sz w:val="22"/>
                <w:u w:val="single"/>
              </w:rPr>
              <w:t>Cuiaba Facility</w:t>
            </w:r>
            <w:r>
              <w:rPr>
                <w:sz w:val="22"/>
              </w:rPr>
              <w:t>”; all of the foregoing which may be referred to individually as a "Facility", or collectively as the "Facilities").</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Total Project Costs:</w:t>
            </w:r>
          </w:p>
        </w:tc>
        <w:tc>
          <w:tcPr>
            <w:tcW w:w="5760" w:type="dxa"/>
            <w:tcBorders/>
          </w:tcPr>
          <w:p>
            <w:pPr>
              <w:pStyle w:val="Normal"/>
              <w:jc w:val="both"/>
              <w:rPr>
                <w:sz w:val="22"/>
              </w:rPr>
            </w:pPr>
            <w:r>
              <w:rPr>
                <w:sz w:val="22"/>
              </w:rPr>
              <w:t>Total Project Costs equal U.S.$[980,000,000] and are the sum of (i) the RioGen Facility costs, which are assumed to be U.S.$360,000,000 as of completion of construction of the RioGen Facility; (ii) the Elektrobolt Facility costs, which are assumed to be U.S.$250,000,000 as of completion of construction of the Elektrobolt Facility; (iii) the Cuiaba Facility costs, which are assumed to be U.S.$80,000,000, and (iv) the associated project costs of U.S.[$290,000,000], allocable in whole or in part to any Facility pursuant to the CAA.</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Transaction Overview:</w:t>
            </w:r>
          </w:p>
        </w:tc>
        <w:tc>
          <w:tcPr>
            <w:tcW w:w="5760" w:type="dxa"/>
            <w:tcBorders/>
          </w:tcPr>
          <w:p>
            <w:pPr>
              <w:pStyle w:val="Normal"/>
              <w:jc w:val="both"/>
              <w:rPr/>
            </w:pPr>
            <w:r>
              <w:rPr>
                <w:sz w:val="22"/>
              </w:rPr>
              <w:t>Developer, acting as owner (the “</w:t>
            </w:r>
            <w:r>
              <w:rPr>
                <w:sz w:val="22"/>
                <w:u w:val="single"/>
              </w:rPr>
              <w:t>Owner</w:t>
            </w:r>
            <w:r>
              <w:rPr>
                <w:sz w:val="22"/>
              </w:rPr>
              <w:t>”), wishes to arrange and provide up to U.S.$[980,000,000] in construction advances to ESAT for the development and construction of the Project (the “</w:t>
            </w:r>
            <w:r>
              <w:rPr>
                <w:sz w:val="22"/>
                <w:u w:val="single"/>
              </w:rPr>
              <w:t>Transaction</w:t>
            </w:r>
            <w:r>
              <w:rPr>
                <w:sz w:val="22"/>
              </w:rPr>
              <w:t>”).</w:t>
            </w:r>
          </w:p>
          <w:p>
            <w:pPr>
              <w:pStyle w:val="Normal"/>
              <w:jc w:val="both"/>
              <w:rPr>
                <w:sz w:val="22"/>
              </w:rPr>
            </w:pPr>
            <w:r>
              <w:rPr>
                <w:sz w:val="22"/>
              </w:rPr>
            </w:r>
          </w:p>
          <w:p>
            <w:pPr>
              <w:pStyle w:val="Normal"/>
              <w:jc w:val="both"/>
              <w:rPr/>
            </w:pPr>
            <w:r>
              <w:rPr>
                <w:sz w:val="22"/>
              </w:rPr>
              <w:t>WestLB (the “</w:t>
            </w:r>
            <w:r>
              <w:rPr>
                <w:sz w:val="22"/>
                <w:u w:val="single"/>
              </w:rPr>
              <w:t>Lender</w:t>
            </w:r>
            <w:r>
              <w:rPr>
                <w:sz w:val="22"/>
              </w:rPr>
              <w:t>”)</w:t>
            </w:r>
            <w:r>
              <w:rPr>
                <w:b/>
                <w:sz w:val="22"/>
              </w:rPr>
              <w:t xml:space="preserve"> </w:t>
            </w:r>
            <w:r>
              <w:rPr>
                <w:sz w:val="22"/>
              </w:rPr>
              <w:t>shall provide debt financing for construction of the Project. Developer Parent shall provide a minimum of 3% equity.</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Transaction Agreements:</w:t>
            </w:r>
          </w:p>
        </w:tc>
        <w:tc>
          <w:tcPr>
            <w:tcW w:w="5760" w:type="dxa"/>
            <w:tcBorders/>
          </w:tcPr>
          <w:p>
            <w:pPr>
              <w:pStyle w:val="Normal"/>
              <w:jc w:val="both"/>
              <w:rPr/>
            </w:pPr>
            <w:r>
              <w:rPr>
                <w:sz w:val="22"/>
              </w:rPr>
              <w:t>On the Closing Date, the following principal documents will be executed: (i) a Construction Agency Agreement (the “</w:t>
            </w:r>
            <w:r>
              <w:rPr>
                <w:sz w:val="22"/>
                <w:u w:val="single"/>
              </w:rPr>
              <w:t>CAA</w:t>
            </w:r>
            <w:r>
              <w:rPr>
                <w:sz w:val="22"/>
              </w:rPr>
              <w:t>”) between Owner and Agent, (ii) a Loan Agreement and a Security and Assignment Agreement (both between Owner and Lender, it being agreed that certain rights of Owner under the Loan Agreement (e.g., the right to request advances, specify LIBOR interest periods, etc.) will be assigned to Agent under the CAA); (iii) a Guaranty whereby the obligations of ESAT under the CAA will be guaranteed by Enron; and (iv) with respect to any Facility, an EPC Contract (as defined below) (collectively, the “</w:t>
            </w:r>
            <w:r>
              <w:rPr>
                <w:sz w:val="22"/>
                <w:u w:val="single"/>
              </w:rPr>
              <w:t>Transaction Agreements</w:t>
            </w:r>
            <w:r>
              <w:rPr>
                <w:sz w:val="22"/>
              </w:rPr>
              <w:t>”).</w:t>
            </w:r>
          </w:p>
        </w:tc>
      </w:tr>
      <w:tr>
        <w:trPr/>
        <w:tc>
          <w:tcPr>
            <w:tcW w:w="2880" w:type="dxa"/>
            <w:tcBorders/>
          </w:tcPr>
          <w:p>
            <w:pPr>
              <w:pStyle w:val="Normal"/>
              <w:snapToGrid w:val="false"/>
              <w:rPr>
                <w:b/>
                <w:sz w:val="22"/>
                <w:u w:val="double"/>
              </w:rPr>
            </w:pPr>
            <w:r>
              <w:rPr>
                <w:b/>
                <w:sz w:val="22"/>
                <w:u w:val="double"/>
              </w:rPr>
            </w:r>
          </w:p>
        </w:tc>
        <w:tc>
          <w:tcPr>
            <w:tcW w:w="5760" w:type="dxa"/>
            <w:tcBorders/>
          </w:tcPr>
          <w:p>
            <w:pPr>
              <w:pStyle w:val="BodyText3"/>
              <w:snapToGrid w:val="false"/>
              <w:rPr>
                <w:b/>
                <w:sz w:val="22"/>
                <w:u w:val="double"/>
              </w:rPr>
            </w:pPr>
            <w:r>
              <w:rPr>
                <w:b/>
                <w:sz w:val="22"/>
                <w:u w:val="double"/>
              </w:rPr>
            </w:r>
          </w:p>
        </w:tc>
      </w:tr>
      <w:tr>
        <w:trPr/>
        <w:tc>
          <w:tcPr>
            <w:tcW w:w="2880" w:type="dxa"/>
            <w:tcBorders/>
          </w:tcPr>
          <w:p>
            <w:pPr>
              <w:pStyle w:val="BodyText3"/>
              <w:rPr>
                <w:b/>
              </w:rPr>
            </w:pPr>
            <w:r>
              <w:rPr>
                <w:b/>
              </w:rPr>
              <w:t>Term:</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tc>
        <w:tc>
          <w:tcPr>
            <w:tcW w:w="5760" w:type="dxa"/>
            <w:tcBorders/>
          </w:tcPr>
          <w:p>
            <w:pPr>
              <w:pStyle w:val="Normal"/>
              <w:rPr>
                <w:b/>
                <w:sz w:val="22"/>
                <w:u w:val="double"/>
              </w:rPr>
            </w:pPr>
            <w:r>
              <w:rPr>
                <w:sz w:val="22"/>
              </w:rPr>
              <w:t>The period commencing on the Closing Date and ending thirty-two (32) months thereafter.</w:t>
            </w:r>
          </w:p>
        </w:tc>
      </w:tr>
      <w:tr>
        <w:trPr/>
        <w:tc>
          <w:tcPr>
            <w:tcW w:w="2880" w:type="dxa"/>
            <w:tcBorders/>
          </w:tcPr>
          <w:p>
            <w:pPr>
              <w:pStyle w:val="Normal"/>
              <w:snapToGrid w:val="false"/>
              <w:rPr>
                <w:b/>
                <w:sz w:val="22"/>
                <w:u w:val="double"/>
              </w:rPr>
            </w:pPr>
            <w:r>
              <w:rPr>
                <w:b/>
                <w:sz w:val="22"/>
                <w:u w:val="double"/>
              </w:rPr>
            </w:r>
          </w:p>
        </w:tc>
        <w:tc>
          <w:tcPr>
            <w:tcW w:w="5760" w:type="dxa"/>
            <w:tcBorders/>
          </w:tcPr>
          <w:p>
            <w:pPr>
              <w:pStyle w:val="Normal"/>
              <w:jc w:val="both"/>
              <w:rPr>
                <w:rFonts w:eastAsia="Arial"/>
                <w:sz w:val="22"/>
              </w:rPr>
            </w:pPr>
            <w:r>
              <w:rPr>
                <w:rFonts w:eastAsia="Arial"/>
                <w:sz w:val="22"/>
              </w:rPr>
              <w:t xml:space="preserve"> </w:t>
            </w:r>
          </w:p>
        </w:tc>
      </w:tr>
      <w:tr>
        <w:trPr/>
        <w:tc>
          <w:tcPr>
            <w:tcW w:w="2880" w:type="dxa"/>
            <w:tcBorders/>
          </w:tcPr>
          <w:p>
            <w:pPr>
              <w:pStyle w:val="Normal"/>
              <w:rPr>
                <w:b/>
                <w:sz w:val="22"/>
              </w:rPr>
            </w:pPr>
            <w:r>
              <w:rPr>
                <w:b/>
                <w:sz w:val="22"/>
              </w:rPr>
              <w:t>Closing Date:</w:t>
            </w:r>
          </w:p>
        </w:tc>
        <w:tc>
          <w:tcPr>
            <w:tcW w:w="5760" w:type="dxa"/>
            <w:tcBorders/>
          </w:tcPr>
          <w:p>
            <w:pPr>
              <w:pStyle w:val="Normal"/>
              <w:jc w:val="both"/>
              <w:rPr>
                <w:sz w:val="22"/>
              </w:rPr>
            </w:pPr>
            <w:r>
              <w:rPr>
                <w:sz w:val="22"/>
              </w:rPr>
              <w:t>November [12], 2000.</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Termination Date:</w:t>
            </w:r>
          </w:p>
        </w:tc>
        <w:tc>
          <w:tcPr>
            <w:tcW w:w="5760" w:type="dxa"/>
            <w:tcBorders/>
          </w:tcPr>
          <w:p>
            <w:pPr>
              <w:pStyle w:val="Normal"/>
              <w:jc w:val="both"/>
              <w:rPr>
                <w:sz w:val="22"/>
              </w:rPr>
            </w:pPr>
            <w:r>
              <w:rPr>
                <w:sz w:val="22"/>
              </w:rPr>
              <w:t>The last day of the Term.</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sz w:val="24"/>
        </w:rPr>
      </w:pPr>
      <w:r>
        <w:rPr>
          <w:sz w:val="24"/>
        </w:rPr>
        <w:t>Appointment of Agent</w:t>
      </w:r>
    </w:p>
    <w:p>
      <w:pPr>
        <w:pStyle w:val="Normal"/>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Appointment of Agent:</w:t>
            </w:r>
          </w:p>
        </w:tc>
        <w:tc>
          <w:tcPr>
            <w:tcW w:w="5760" w:type="dxa"/>
            <w:tcBorders/>
          </w:tcPr>
          <w:p>
            <w:pPr>
              <w:pStyle w:val="Normal"/>
              <w:jc w:val="both"/>
              <w:rPr/>
            </w:pPr>
            <w:r>
              <w:rPr>
                <w:sz w:val="22"/>
              </w:rPr>
              <w:t>Pursuant to the CAA, the Owner will appoint ESAT as its construction agent (the “</w:t>
            </w:r>
            <w:r>
              <w:rPr>
                <w:sz w:val="22"/>
                <w:u w:val="single"/>
              </w:rPr>
              <w:t>Agent</w:t>
            </w:r>
            <w:r>
              <w:rPr>
                <w:sz w:val="22"/>
              </w:rPr>
              <w:t xml:space="preserve">”) to act as its exclusive agent for the development and construction of the Project. </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Guaranty:</w:t>
            </w:r>
          </w:p>
        </w:tc>
        <w:tc>
          <w:tcPr>
            <w:tcW w:w="5760" w:type="dxa"/>
            <w:tcBorders/>
          </w:tcPr>
          <w:p>
            <w:pPr>
              <w:pStyle w:val="Normal"/>
              <w:jc w:val="both"/>
              <w:rPr/>
            </w:pPr>
            <w:r>
              <w:rPr>
                <w:sz w:val="22"/>
              </w:rPr>
              <w:t>Contemporaneously with the execution of the CAA, Enron (the “</w:t>
            </w:r>
            <w:r>
              <w:rPr>
                <w:sz w:val="22"/>
                <w:u w:val="single"/>
              </w:rPr>
              <w:t>Guarantor</w:t>
            </w:r>
            <w:r>
              <w:rPr>
                <w:sz w:val="22"/>
              </w:rPr>
              <w:t>”) will provide the Owner a senior, unconditional, unsecured guaranty of the [payment] [to be discussed during documentation] obligations of Agent under the CAA (the “</w:t>
            </w:r>
            <w:r>
              <w:rPr>
                <w:sz w:val="22"/>
                <w:u w:val="single"/>
              </w:rPr>
              <w:t>Guaranty</w:t>
            </w:r>
            <w:r>
              <w:rPr>
                <w:sz w:val="22"/>
              </w:rPr>
              <w:t xml:space="preserve">”), which shall be assigned to the Lender under the Security and Assignment Agreement.  The Guaranty will contain financial covenants, consistent with those set forth in the Guarantor’s $1,750,000,000, 364-Day Revolving Credit Agreement dated as of May 18, 2000 (as amended, modified, restated, superseded and in effect from time to time). </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EPC Contracts:</w:t>
            </w:r>
          </w:p>
        </w:tc>
        <w:tc>
          <w:tcPr>
            <w:tcW w:w="5760" w:type="dxa"/>
            <w:tcBorders/>
          </w:tcPr>
          <w:p>
            <w:pPr>
              <w:pStyle w:val="Normal"/>
              <w:jc w:val="both"/>
              <w:rPr/>
            </w:pPr>
            <w:r>
              <w:rPr>
                <w:sz w:val="22"/>
              </w:rPr>
              <w:t>For each Facility (other than the Cuiaba Facility), ESAT shall enter into a series of construction contracts with a contractor (the “</w:t>
            </w:r>
            <w:r>
              <w:rPr>
                <w:sz w:val="22"/>
                <w:u w:val="single"/>
              </w:rPr>
              <w:t>EPC Contractor</w:t>
            </w:r>
            <w:r>
              <w:rPr>
                <w:sz w:val="22"/>
              </w:rPr>
              <w:t>”) for the engineering, procurement and construction (including installation of turbines) and timely completion of such Facility (such contracts, collectively, the "EPC Contracts" and individually an “</w:t>
            </w:r>
            <w:r>
              <w:rPr>
                <w:sz w:val="22"/>
                <w:u w:val="single"/>
              </w:rPr>
              <w:t>EPC Contract</w:t>
            </w:r>
            <w:r>
              <w:rPr>
                <w:sz w:val="22"/>
              </w:rPr>
              <w:t>”).  The EPC  Contracts will include various Sub-Contracts (as defined below).  The EPC Contract and the applicable Sub-Contracts for each Facility will be treated as one single turnkey agreement under the single point responsibility of the EPC Contractor.</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Sub-Contracts:</w:t>
            </w:r>
          </w:p>
        </w:tc>
        <w:tc>
          <w:tcPr>
            <w:tcW w:w="5760" w:type="dxa"/>
            <w:tcBorders/>
          </w:tcPr>
          <w:p>
            <w:pPr>
              <w:pStyle w:val="Normal"/>
              <w:jc w:val="both"/>
              <w:rPr/>
            </w:pPr>
            <w:r>
              <w:rPr>
                <w:sz w:val="22"/>
              </w:rPr>
              <w:t>A series of contracts between the EPC Contractor and/or ESAT and various sub-contractors (the “</w:t>
            </w:r>
            <w:r>
              <w:rPr>
                <w:sz w:val="22"/>
                <w:u w:val="single"/>
              </w:rPr>
              <w:t>Sub-Contractors</w:t>
            </w:r>
            <w:r>
              <w:rPr>
                <w:sz w:val="22"/>
              </w:rPr>
              <w:t>”) which are required to complete the Project in accordance with design specifications and local regulations.</w:t>
            </w:r>
          </w:p>
          <w:p>
            <w:pPr>
              <w:pStyle w:val="Normal"/>
              <w:jc w:val="both"/>
              <w:rPr>
                <w:sz w:val="22"/>
              </w:rPr>
            </w:pPr>
            <w:r>
              <w:rPr>
                <w:sz w:val="22"/>
              </w:rPr>
            </w:r>
          </w:p>
          <w:p>
            <w:pPr>
              <w:pStyle w:val="Normal"/>
              <w:jc w:val="both"/>
              <w:rPr>
                <w:sz w:val="22"/>
              </w:rPr>
            </w:pPr>
            <w:r>
              <w:rPr>
                <w:sz w:val="22"/>
              </w:rPr>
              <w:t>The EPC Contractors shall have the right to enter into the Sub-Contracts without Owner’s prior consent.</w:t>
            </w:r>
          </w:p>
          <w:p>
            <w:pPr>
              <w:pStyle w:val="Normal"/>
              <w:jc w:val="both"/>
              <w:rPr>
                <w:sz w:val="22"/>
              </w:rPr>
            </w:pPr>
            <w:r>
              <w:rPr>
                <w:sz w:val="22"/>
              </w:rPr>
              <w:t>The Agent will agree that any and all actions or failures to act of the EPC Contractor and the Sub-Contractors are included in the acts or failures to act of the Agent.</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Property:</w:t>
            </w:r>
          </w:p>
        </w:tc>
        <w:tc>
          <w:tcPr>
            <w:tcW w:w="5760" w:type="dxa"/>
            <w:tcBorders/>
          </w:tcPr>
          <w:p>
            <w:pPr>
              <w:pStyle w:val="Normal"/>
              <w:jc w:val="both"/>
              <w:rPr>
                <w:sz w:val="22"/>
              </w:rPr>
            </w:pPr>
            <w:r>
              <w:rPr>
                <w:sz w:val="22"/>
              </w:rPr>
              <w:t>At any time, all and any rights, title and interests in the Project, including all and any rights and interests in the EPC Contracts and the Sub-Contracts, subject to the exercise of Agent's Purchase Option on an individual Facility.</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Required Actions:</w:t>
            </w:r>
          </w:p>
        </w:tc>
        <w:tc>
          <w:tcPr>
            <w:tcW w:w="5760" w:type="dxa"/>
            <w:tcBorders/>
          </w:tcPr>
          <w:p>
            <w:pPr>
              <w:pStyle w:val="Normal"/>
              <w:jc w:val="both"/>
              <w:rPr/>
            </w:pPr>
            <w:r>
              <w:rPr>
                <w:sz w:val="22"/>
              </w:rPr>
              <w:t>Under the CAA, the Agent will be required to perform all actions necessary and desirable (the “</w:t>
            </w:r>
            <w:r>
              <w:rPr>
                <w:sz w:val="22"/>
                <w:u w:val="single"/>
              </w:rPr>
              <w:t>Required Actions</w:t>
            </w:r>
            <w:r>
              <w:rPr>
                <w:sz w:val="22"/>
              </w:rPr>
              <w:t>”) for and on behalf of Owner. In general, Required Actions include all of those activities within the control of Agent to ensure that the Project will be completed in accordance with the Budget.</w:t>
            </w:r>
          </w:p>
          <w:p>
            <w:pPr>
              <w:pStyle w:val="Normal"/>
              <w:jc w:val="both"/>
              <w:rPr>
                <w:sz w:val="22"/>
              </w:rPr>
            </w:pPr>
            <w:r>
              <w:rPr>
                <w:sz w:val="22"/>
              </w:rPr>
            </w:r>
          </w:p>
          <w:p>
            <w:pPr>
              <w:pStyle w:val="Normal"/>
              <w:jc w:val="both"/>
              <w:rPr>
                <w:sz w:val="22"/>
              </w:rPr>
            </w:pPr>
            <w:r>
              <w:rPr>
                <w:sz w:val="22"/>
              </w:rPr>
              <w:t>Required Actions will include (but not be limited to) the following and will be performed subject to the right of reimbursement by Agent from Owner for costs incurred in performing such actions:</w:t>
            </w:r>
          </w:p>
          <w:p>
            <w:pPr>
              <w:pStyle w:val="Normal"/>
              <w:jc w:val="both"/>
              <w:rPr>
                <w:sz w:val="22"/>
              </w:rPr>
            </w:pPr>
            <w:r>
              <w:rPr>
                <w:sz w:val="22"/>
              </w:rPr>
            </w:r>
          </w:p>
          <w:p>
            <w:pPr>
              <w:pStyle w:val="Normal"/>
              <w:ind w:start="720" w:end="0"/>
              <w:jc w:val="both"/>
              <w:rPr>
                <w:sz w:val="22"/>
              </w:rPr>
            </w:pPr>
            <w:r>
              <w:rPr>
                <w:sz w:val="22"/>
              </w:rPr>
              <w:t>(i)</w:t>
              <w:tab/>
              <w:t>take all actions or conduct all due diligence, as applicable, (using the highest quality materials available for the Facilities, constructing the Facilities in accordance with state of the industry standards for the construction of projects similar to the Facilities, in consideration of the debt financing nature of the Transaction regarding the intent of Owner, Lender and Agent) with regard to Owner's development, ownership or position in the SPV's, the Facilities and otherwise with respect to the Project, including any regulatory, exchange control, tax or legal impact of such position (including without limitation any cross-border, Brazilian, Cayman or international regulatory, tax or legal impact), any foreseeable material diminution in the value of the Project (by reason of environmental or other regulation (including without limitation any cross-border, Brazilian, Cayman or international regulation), technological change, the EPC Contractors' and Sub-Contractors’ ability to complete the Project), and any other such application of Agent's expertise in the international power generation industry, that may mitigate any cost or risk to Owner of the Project;</w:t>
            </w:r>
          </w:p>
          <w:p>
            <w:pPr>
              <w:pStyle w:val="Normal"/>
              <w:tabs>
                <w:tab w:val="left" w:pos="720" w:leader="none"/>
              </w:tabs>
              <w:jc w:val="both"/>
              <w:rPr>
                <w:sz w:val="22"/>
              </w:rPr>
            </w:pPr>
            <w:r>
              <w:rPr>
                <w:sz w:val="22"/>
              </w:rPr>
            </w:r>
          </w:p>
          <w:p>
            <w:pPr>
              <w:pStyle w:val="Normal"/>
              <w:ind w:start="720" w:end="0"/>
              <w:jc w:val="both"/>
              <w:rPr>
                <w:sz w:val="22"/>
              </w:rPr>
            </w:pPr>
            <w:r>
              <w:rPr>
                <w:sz w:val="22"/>
              </w:rPr>
              <w:t>(ii)</w:t>
              <w:tab/>
              <w:t xml:space="preserve">take all actions and not omit to take any actions which ensure that all material licenses, approvals, authorizations, consents, and permits be obtained with respect to the Property; that the Property is free of all liens other than liens perfected in favor of Owner, the Lender and/or the Project Lenders (as defined below) and liens with respect to the Project for which an adequate amount shall be provided for payment in the Budget; and that all liens required to be perfected in favor of the Lender under the Loan Agreement be perfected in accordance with the terms thereof. </w:t>
            </w:r>
          </w:p>
          <w:p>
            <w:pPr>
              <w:pStyle w:val="Normal"/>
              <w:tabs>
                <w:tab w:val="left" w:pos="720" w:leader="none"/>
              </w:tabs>
              <w:jc w:val="both"/>
              <w:rPr>
                <w:sz w:val="22"/>
              </w:rPr>
            </w:pPr>
            <w:r>
              <w:rPr>
                <w:sz w:val="22"/>
              </w:rPr>
            </w:r>
          </w:p>
          <w:p>
            <w:pPr>
              <w:pStyle w:val="Normal"/>
              <w:ind w:start="720" w:end="0"/>
              <w:jc w:val="both"/>
              <w:rPr>
                <w:sz w:val="22"/>
              </w:rPr>
            </w:pPr>
            <w:r>
              <w:rPr>
                <w:sz w:val="22"/>
              </w:rPr>
              <w:t>(iii)</w:t>
              <w:tab/>
              <w:t>use Advances or direct Owner to make Direct Payments for the completion of the Project in accordance with the Budget, or to make other Payments in accordance with the Budget, including Transaction Expenses (as defined below), but for no other purposes whatsoever (except as may be specifically agreed by Owner in writing); and</w:t>
            </w:r>
          </w:p>
          <w:p>
            <w:pPr>
              <w:pStyle w:val="Normal"/>
              <w:tabs>
                <w:tab w:val="left" w:pos="720" w:leader="none"/>
              </w:tabs>
              <w:jc w:val="both"/>
              <w:rPr>
                <w:sz w:val="22"/>
              </w:rPr>
            </w:pPr>
            <w:r>
              <w:rPr>
                <w:sz w:val="22"/>
              </w:rPr>
            </w:r>
          </w:p>
          <w:p>
            <w:pPr>
              <w:pStyle w:val="Normal"/>
              <w:ind w:start="720" w:end="0"/>
              <w:jc w:val="both"/>
              <w:rPr>
                <w:sz w:val="22"/>
              </w:rPr>
            </w:pPr>
            <w:r>
              <w:rPr>
                <w:sz w:val="22"/>
              </w:rPr>
              <w:t>(iv)</w:t>
              <w:tab/>
              <w:t>take all actions and not omit to take actions which cause Owner to be in compliance at all times with the terms and provisions of the Budget, Applicable Laws and Insurance Requirements with respect to the Property and give Owner prompt written notice of changes in Applicable Laws affecting Owner's ownership of the Property or the fulfillment of the obligations under the Sub-Contracts.</w:t>
            </w:r>
          </w:p>
          <w:p>
            <w:pPr>
              <w:pStyle w:val="Normal"/>
              <w:tabs>
                <w:tab w:val="left" w:pos="720" w:leader="none"/>
              </w:tabs>
              <w:jc w:val="both"/>
              <w:rPr>
                <w:sz w:val="22"/>
              </w:rPr>
            </w:pPr>
            <w:r>
              <w:rPr>
                <w:sz w:val="22"/>
              </w:rPr>
            </w:r>
          </w:p>
          <w:p>
            <w:pPr>
              <w:pStyle w:val="Normal"/>
              <w:tabs>
                <w:tab w:val="left" w:pos="720" w:leader="none"/>
              </w:tabs>
              <w:ind w:start="720" w:end="0"/>
              <w:jc w:val="both"/>
              <w:rPr>
                <w:sz w:val="22"/>
              </w:rPr>
            </w:pPr>
            <w:r>
              <w:rPr>
                <w:sz w:val="22"/>
              </w:rPr>
              <w:t>(v)</w:t>
              <w:tab/>
              <w:t>Take all actions and not omit to take actions to arrange for the appropriate insurance coverage as per the Insurance Requirements set forth in the CAA and the Loan Agreement, and to perform the appropriate due diligence and monitoring of the political and commercial situation of the Federative Republic of Brazil, as it relates to the Insurance Requirements, and report to Owner on a regular or as-needed basis (as dictated by Agent’s on-going due diligence) on the essential and non-essential nature of the Insurance Requirements.</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Scope of Authority:</w:t>
            </w:r>
          </w:p>
        </w:tc>
        <w:tc>
          <w:tcPr>
            <w:tcW w:w="5760" w:type="dxa"/>
            <w:tcBorders/>
          </w:tcPr>
          <w:p>
            <w:pPr>
              <w:pStyle w:val="Normal"/>
              <w:jc w:val="both"/>
              <w:rPr/>
            </w:pPr>
            <w:r>
              <w:rPr>
                <w:sz w:val="22"/>
              </w:rPr>
              <w:t>Owner will grant to Agent the authority (the “</w:t>
            </w:r>
            <w:r>
              <w:rPr>
                <w:sz w:val="22"/>
                <w:u w:val="single"/>
              </w:rPr>
              <w:t>Scope of Authority</w:t>
            </w:r>
            <w:r>
              <w:rPr>
                <w:sz w:val="22"/>
              </w:rPr>
              <w:t xml:space="preserve">”) to take all Required Actions in connection with the completion of the Project directly on Owner’s behalf, </w:t>
            </w:r>
            <w:r>
              <w:rPr>
                <w:sz w:val="22"/>
                <w:u w:val="single"/>
              </w:rPr>
              <w:t>provided</w:t>
            </w:r>
            <w:r>
              <w:rPr>
                <w:sz w:val="22"/>
              </w:rPr>
              <w:t xml:space="preserve"> that Agent’s Scope of Authority will exclude:</w:t>
            </w:r>
          </w:p>
          <w:p>
            <w:pPr>
              <w:pStyle w:val="Normal"/>
              <w:jc w:val="both"/>
              <w:rPr>
                <w:sz w:val="22"/>
              </w:rPr>
            </w:pPr>
            <w:r>
              <w:rPr>
                <w:sz w:val="22"/>
              </w:rPr>
            </w:r>
          </w:p>
          <w:p>
            <w:pPr>
              <w:pStyle w:val="Normal"/>
              <w:ind w:hanging="720" w:start="720" w:end="0"/>
              <w:jc w:val="both"/>
              <w:rPr>
                <w:sz w:val="22"/>
              </w:rPr>
            </w:pPr>
            <w:r>
              <w:rPr>
                <w:sz w:val="22"/>
              </w:rPr>
              <w:t>(i)</w:t>
              <w:tab/>
              <w:t>Any action for or on behalf of Owner other than the Required Actions; and</w:t>
            </w:r>
          </w:p>
          <w:p>
            <w:pPr>
              <w:pStyle w:val="Normal"/>
              <w:tabs>
                <w:tab w:val="left" w:pos="720" w:leader="none"/>
              </w:tabs>
              <w:jc w:val="both"/>
              <w:rPr>
                <w:sz w:val="22"/>
              </w:rPr>
            </w:pPr>
            <w:r>
              <w:rPr>
                <w:sz w:val="22"/>
              </w:rPr>
            </w:r>
          </w:p>
          <w:p>
            <w:pPr>
              <w:pStyle w:val="Normal"/>
              <w:ind w:hanging="720" w:start="720" w:end="0"/>
              <w:jc w:val="both"/>
              <w:rPr>
                <w:sz w:val="22"/>
              </w:rPr>
            </w:pPr>
            <w:r>
              <w:rPr>
                <w:sz w:val="22"/>
              </w:rPr>
              <w:t>(ii)</w:t>
              <w:tab/>
              <w:t>Making any expenditure or binding Owner in any way not contemplated by the Budget, except for Permitted Modifications (which shall be defined in the CAA).</w:t>
            </w:r>
          </w:p>
          <w:p>
            <w:pPr>
              <w:pStyle w:val="Normal"/>
              <w:jc w:val="both"/>
              <w:rPr>
                <w:sz w:val="22"/>
              </w:rPr>
            </w:pPr>
            <w:r>
              <w:rPr>
                <w:sz w:val="22"/>
              </w:rPr>
            </w:r>
          </w:p>
          <w:p>
            <w:pPr>
              <w:pStyle w:val="Normal"/>
              <w:jc w:val="both"/>
              <w:rPr>
                <w:sz w:val="22"/>
              </w:rPr>
            </w:pPr>
            <w:r>
              <w:rPr>
                <w:sz w:val="22"/>
              </w:rPr>
              <w:t>In connection with the performance by Agent of the Required Actions within the Scope of Authority, Agent acknowledges and agrees (i) that, as between Owner and Agent, the Property is in its care, custody and control during the Term, (ii) that it is responsible for the acts and omissions of itself, the EPC Contractors, the Sub-Contractors and their respective agents, and (iii) that it has agreed to take all actions (and not omit any actions) necessary to maintain, or cause to be maintained, the Property free from injury or mishap to third persons.</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bl>
    <w:p>
      <w:pPr>
        <w:pStyle w:val="Normal"/>
        <w:rPr>
          <w:sz w:val="22"/>
        </w:rPr>
      </w:pPr>
      <w:r>
        <w:rPr>
          <w:sz w:val="22"/>
        </w:rPr>
      </w:r>
    </w:p>
    <w:p>
      <w:pPr>
        <w:pStyle w:val="Normal"/>
        <w:rPr>
          <w:sz w:val="22"/>
        </w:rPr>
      </w:pPr>
      <w:r>
        <w:rPr>
          <w:sz w:val="22"/>
        </w:rPr>
      </w:r>
    </w:p>
    <w:p>
      <w:pPr>
        <w:pStyle w:val="Heading1"/>
        <w:ind w:hanging="0" w:start="0"/>
        <w:rPr>
          <w:sz w:val="24"/>
        </w:rPr>
      </w:pPr>
      <w:r>
        <w:rPr>
          <w:sz w:val="24"/>
        </w:rPr>
        <w:t>Owner’s Financing</w:t>
      </w:r>
    </w:p>
    <w:p>
      <w:pPr>
        <w:pStyle w:val="Normal"/>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Loan Agreement:</w:t>
            </w:r>
          </w:p>
        </w:tc>
        <w:tc>
          <w:tcPr>
            <w:tcW w:w="5760" w:type="dxa"/>
            <w:tcBorders/>
          </w:tcPr>
          <w:p>
            <w:pPr>
              <w:pStyle w:val="Normal"/>
              <w:jc w:val="both"/>
              <w:rPr/>
            </w:pPr>
            <w:r>
              <w:rPr>
                <w:sz w:val="22"/>
              </w:rPr>
              <w:t>On the Closing Date, Owner and Lender will enter into a loan agreement (the “</w:t>
            </w:r>
            <w:r>
              <w:rPr>
                <w:sz w:val="22"/>
                <w:u w:val="single"/>
              </w:rPr>
              <w:t>Loan Agreement</w:t>
            </w:r>
            <w:r>
              <w:rPr>
                <w:sz w:val="22"/>
              </w:rPr>
              <w:t>”) providing for up to $[950,600,000] of debt financing for the Project.</w:t>
            </w:r>
          </w:p>
          <w:p>
            <w:pPr>
              <w:pStyle w:val="Normal"/>
              <w:jc w:val="both"/>
              <w:rPr>
                <w:sz w:val="22"/>
              </w:rPr>
            </w:pPr>
            <w:r>
              <w:rPr>
                <w:sz w:val="22"/>
              </w:rPr>
            </w:r>
          </w:p>
          <w:p>
            <w:pPr>
              <w:pStyle w:val="Normal"/>
              <w:jc w:val="both"/>
              <w:rPr>
                <w:sz w:val="22"/>
              </w:rPr>
            </w:pPr>
            <w:r>
              <w:rPr>
                <w:sz w:val="22"/>
              </w:rPr>
              <w:t>The Loan Agreement will be composed of two tranches, with the following allocation of financing on the Closing Date: $[756.60] million allocated to Tranche A and $[194.0] million allocated to Tranche B. Any drawdowns under Tranche B will be contingent on Owner or its designee (including Agent) providing to Lender United States Treasury securities (of any maturity) in an amount equal to such drawdown or such other collateral as is mutually acceptable to Agent and WestLB.</w:t>
            </w:r>
          </w:p>
          <w:p>
            <w:pPr>
              <w:pStyle w:val="Normal"/>
              <w:jc w:val="both"/>
              <w:rPr>
                <w:sz w:val="22"/>
              </w:rPr>
            </w:pPr>
            <w:r>
              <w:rPr>
                <w:sz w:val="22"/>
              </w:rPr>
            </w:r>
          </w:p>
          <w:p>
            <w:pPr>
              <w:pStyle w:val="Normal"/>
              <w:jc w:val="both"/>
              <w:rPr>
                <w:sz w:val="22"/>
              </w:rPr>
            </w:pPr>
            <w:r>
              <w:rPr>
                <w:sz w:val="22"/>
              </w:rPr>
              <w:t>During the term of the Transaction, any exercise of a Facility Purchase Option or the Facility Lease Option will, unless otherwise agreed to by Agent, Owner and Lender, reduce the amount of Tranche A and increase  the amount of Tranche B, in each case by the amount of the pro rata Termination Amount allocable to the Facility so purchased and paid upon the exercise of the respective Facility Purchase Option or Facility Lease Option.</w:t>
            </w:r>
          </w:p>
          <w:p>
            <w:pPr>
              <w:pStyle w:val="Normal"/>
              <w:jc w:val="both"/>
              <w:rPr>
                <w:sz w:val="22"/>
              </w:rPr>
            </w:pPr>
            <w:r>
              <w:rPr>
                <w:sz w:val="22"/>
              </w:rPr>
            </w:r>
          </w:p>
          <w:p>
            <w:pPr>
              <w:pStyle w:val="Normal"/>
              <w:jc w:val="both"/>
              <w:rPr>
                <w:sz w:val="22"/>
              </w:rPr>
            </w:pPr>
            <w:r>
              <w:rPr>
                <w:sz w:val="22"/>
              </w:rPr>
              <w:t>The final maturity date for the Loan Agreement shall occur on the last day of the Term.</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Security and Assignment Agreement:</w:t>
            </w:r>
          </w:p>
        </w:tc>
        <w:tc>
          <w:tcPr>
            <w:tcW w:w="5760" w:type="dxa"/>
            <w:tcBorders/>
          </w:tcPr>
          <w:p>
            <w:pPr>
              <w:pStyle w:val="Normal"/>
              <w:jc w:val="both"/>
              <w:rPr/>
            </w:pPr>
            <w:r>
              <w:rPr>
                <w:sz w:val="22"/>
              </w:rPr>
              <w:t>As collateral for Owner’s obligations under the Loan Agreement, as of the Closing Date Owner will assign certain of its rights under the CAA to Lender under the terms of a security and assignment agreement (the “</w:t>
            </w:r>
            <w:r>
              <w:rPr>
                <w:sz w:val="22"/>
                <w:u w:val="single"/>
              </w:rPr>
              <w:t>Security and Assignment Agreement</w:t>
            </w:r>
            <w:r>
              <w:rPr>
                <w:sz w:val="22"/>
              </w:rPr>
              <w:t xml:space="preserve">”), including (i) a first priority assignment of Owner's rights under the CAA to enforce and receive Agent’s payment obligations under the CAA and Enron's payment obligations under the Guaranty); (ii) a pledge of 100% of Developer Parent’s ownership shares in Owner; (iii) a fixed-price purchase option exercisable by Lender on 100% of the shares of Owner at any time, for a purchase price equal to Owner's actual equity investment in the Project (which will be drawn contemporaneously and pro rata with draws on the Loan Agreement on a basis of 3%/97%), plus a mutually agreed return to Developer Parent; provided that on such date the Agent has failed to exercise the Project Purchase Option by the fifteenth (15th) business day after receipt of Lender's written notice of its intention to exercise its purchase option; (iv) a negative pledge by Owner with respect to the Property; (v) a security assignment of the Project agreements; and (vi) the perfection of a first priority mortgage on the real property rights and a first priority chattel mortgage/security interest on the movables included in the Property. </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Lender's Waiver:</w:t>
            </w:r>
          </w:p>
        </w:tc>
        <w:tc>
          <w:tcPr>
            <w:tcW w:w="5760" w:type="dxa"/>
            <w:tcBorders/>
          </w:tcPr>
          <w:p>
            <w:pPr>
              <w:pStyle w:val="Normal"/>
              <w:jc w:val="both"/>
              <w:rPr>
                <w:sz w:val="22"/>
              </w:rPr>
            </w:pPr>
            <w:r>
              <w:rPr>
                <w:sz w:val="22"/>
              </w:rPr>
              <w:t>Lender will waive the satisfaction of certain conditions precedent to closing the Loan Agreement in relation to perfection of non-essential Brazil-situs collateral and non-essential insurance requirements, in both cases so determined on the basis of Agent's due diligence with respect to such items as per Agent’s Required Actions.   Such waiver shall remain in effect for a period of thirty (30) days from the Closing Date, and shall be renewed every thirty (30) days thereafter on the basis of Agent's due diligence indicating the non-essential nature of such requirements as per Agent’s Required Actions.</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Refinancing:</w:t>
            </w:r>
          </w:p>
        </w:tc>
        <w:tc>
          <w:tcPr>
            <w:tcW w:w="5760" w:type="dxa"/>
            <w:tcBorders/>
          </w:tcPr>
          <w:p>
            <w:pPr>
              <w:pStyle w:val="Normal"/>
              <w:jc w:val="both"/>
              <w:rPr>
                <w:sz w:val="22"/>
              </w:rPr>
            </w:pPr>
            <w:r>
              <w:rPr>
                <w:sz w:val="22"/>
              </w:rPr>
              <w:t>Owner may refinance the Loan Agreement by entering into a loan agreement with various project lenders (such agreement, a “</w:t>
            </w:r>
            <w:r>
              <w:rPr>
                <w:sz w:val="22"/>
                <w:u w:val="single"/>
              </w:rPr>
              <w:t>Project Loan Agreement</w:t>
            </w:r>
            <w:r>
              <w:rPr>
                <w:sz w:val="22"/>
              </w:rPr>
              <w:t>”, and such lenders, the “</w:t>
            </w:r>
            <w:r>
              <w:rPr>
                <w:sz w:val="22"/>
                <w:u w:val="single"/>
              </w:rPr>
              <w:t>Project Lenders</w:t>
            </w:r>
            <w:r>
              <w:rPr>
                <w:sz w:val="22"/>
              </w:rPr>
              <w:t>”). In addition, Enron’s obligations under the applicable Transaction Agreements will be reduced on a pro-rata basis by the amount of such Project Loan Agreement.</w:t>
            </w:r>
            <w:r>
              <w:rPr>
                <w:i/>
                <w:sz w:val="22"/>
              </w:rPr>
              <w:t xml:space="preserve"> </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Amended Security and Assignment Agreement:</w:t>
            </w:r>
          </w:p>
        </w:tc>
        <w:tc>
          <w:tcPr>
            <w:tcW w:w="5760" w:type="dxa"/>
            <w:tcBorders/>
          </w:tcPr>
          <w:p>
            <w:pPr>
              <w:pStyle w:val="Normal"/>
              <w:jc w:val="both"/>
              <w:rPr/>
            </w:pPr>
            <w:r>
              <w:rPr>
                <w:sz w:val="22"/>
              </w:rPr>
              <w:t>Upon execution of a Project Loan Agreement, (i) Lender will negotiate in good faith with Project Lenders to enter into a mutually acceptable intercreditor agreement; and (ii) Owner and Lender will amend the Security and Assignment Agreement (the “</w:t>
            </w:r>
            <w:r>
              <w:rPr>
                <w:sz w:val="22"/>
                <w:u w:val="single"/>
              </w:rPr>
              <w:t>Amended Security and Assignment Agreement</w:t>
            </w:r>
            <w:r>
              <w:rPr>
                <w:sz w:val="22"/>
              </w:rPr>
              <w:t xml:space="preserve">”) to reflect an assignment by Owner of certain of its rights under the CAA to Lender and certain other rights to Project Lenders, as follows: </w:t>
            </w:r>
          </w:p>
          <w:p>
            <w:pPr>
              <w:pStyle w:val="Normal"/>
              <w:jc w:val="both"/>
              <w:rPr>
                <w:sz w:val="22"/>
              </w:rPr>
            </w:pPr>
            <w:r>
              <w:rPr>
                <w:sz w:val="22"/>
              </w:rPr>
            </w:r>
          </w:p>
          <w:p>
            <w:pPr>
              <w:pStyle w:val="Normal"/>
              <w:jc w:val="both"/>
              <w:rPr>
                <w:sz w:val="22"/>
              </w:rPr>
            </w:pPr>
            <w:r>
              <w:rPr>
                <w:sz w:val="22"/>
              </w:rPr>
              <w:t>Lender will retain the same collateral as under the original Security and Assignment Agreement, except that it will accept certain subordination (to be further defined in the documentation) to the Project Lenders by taking a second priority assignment of the security interests in the Project.</w:t>
            </w:r>
          </w:p>
          <w:p>
            <w:pPr>
              <w:pStyle w:val="Normal"/>
              <w:jc w:val="both"/>
              <w:rPr>
                <w:sz w:val="22"/>
              </w:rPr>
            </w:pPr>
            <w:r>
              <w:rPr>
                <w:sz w:val="22"/>
              </w:rPr>
            </w:r>
          </w:p>
          <w:p>
            <w:pPr>
              <w:pStyle w:val="Normal"/>
              <w:jc w:val="both"/>
              <w:rPr>
                <w:sz w:val="22"/>
              </w:rPr>
            </w:pPr>
            <w:r>
              <w:rPr>
                <w:sz w:val="22"/>
              </w:rPr>
              <w:t>Project Lenders will receive a first priority assignment of the security interests in the Project.</w:t>
            </w:r>
          </w:p>
        </w:tc>
      </w:tr>
    </w:tbl>
    <w:p>
      <w:pPr>
        <w:pStyle w:val="Normal"/>
        <w:rPr>
          <w:sz w:val="22"/>
        </w:rPr>
      </w:pPr>
      <w:r>
        <w:rPr>
          <w:sz w:val="22"/>
        </w:rPr>
      </w:r>
    </w:p>
    <w:p>
      <w:pPr>
        <w:pStyle w:val="Heading1"/>
        <w:ind w:hanging="0" w:start="0"/>
        <w:rPr>
          <w:sz w:val="24"/>
        </w:rPr>
      </w:pPr>
      <w:r>
        <w:rPr>
          <w:sz w:val="24"/>
        </w:rPr>
      </w:r>
    </w:p>
    <w:p>
      <w:pPr>
        <w:pStyle w:val="Heading1"/>
        <w:ind w:hanging="0" w:start="0"/>
        <w:rPr>
          <w:sz w:val="24"/>
        </w:rPr>
      </w:pPr>
      <w:r>
        <w:rPr>
          <w:sz w:val="24"/>
        </w:rPr>
        <w:t>Budget</w:t>
      </w:r>
    </w:p>
    <w:p>
      <w:pPr>
        <w:pStyle w:val="Normal"/>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Budget:</w:t>
            </w:r>
          </w:p>
        </w:tc>
        <w:tc>
          <w:tcPr>
            <w:tcW w:w="5760" w:type="dxa"/>
            <w:tcBorders/>
          </w:tcPr>
          <w:p>
            <w:pPr>
              <w:pStyle w:val="Normal"/>
              <w:jc w:val="both"/>
              <w:rPr/>
            </w:pPr>
            <w:r>
              <w:rPr>
                <w:sz w:val="22"/>
              </w:rPr>
              <w:t>Agent and Owner will agree on a detailed budget  for the Project (the “</w:t>
            </w:r>
            <w:r>
              <w:rPr>
                <w:sz w:val="22"/>
                <w:u w:val="single"/>
              </w:rPr>
              <w:t>Budget</w:t>
            </w:r>
            <w:r>
              <w:rPr>
                <w:sz w:val="22"/>
              </w:rPr>
              <w:t>”), which will specify the nature and amount of all anticipated payments required to be made to complete the Project, including those costs which are capitalized by Owner in accordance with generally accepted accounting principles (GAAP) plus any other costs which are paid to third-parties other than lenders, which shall include, without limitation, the following:</w:t>
            </w:r>
          </w:p>
          <w:p>
            <w:pPr>
              <w:pStyle w:val="Normal"/>
              <w:jc w:val="both"/>
              <w:rPr>
                <w:sz w:val="22"/>
              </w:rPr>
            </w:pPr>
            <w:r>
              <w:rPr>
                <w:sz w:val="22"/>
              </w:rPr>
            </w:r>
          </w:p>
          <w:p>
            <w:pPr>
              <w:pStyle w:val="Normal"/>
              <w:ind w:start="720" w:end="0"/>
              <w:jc w:val="both"/>
              <w:rPr>
                <w:sz w:val="22"/>
              </w:rPr>
            </w:pPr>
            <w:r>
              <w:rPr>
                <w:sz w:val="22"/>
              </w:rPr>
              <w:t>(i)</w:t>
              <w:tab/>
              <w:t>The aggregate of scheduled Advances to be made to Agent for payments to the EPC Contractors and other third parties in accordance with specified schedules or to be specified schedules under the EPC Contracts and the Sub-Contracts during the Term (including estimates for change orders, modifications and the inclusion of additional Sub-Contracts);</w:t>
            </w:r>
          </w:p>
          <w:p>
            <w:pPr>
              <w:pStyle w:val="Normal"/>
              <w:tabs>
                <w:tab w:val="left" w:pos="720" w:leader="none"/>
              </w:tabs>
              <w:jc w:val="both"/>
              <w:rPr>
                <w:sz w:val="22"/>
              </w:rPr>
            </w:pPr>
            <w:r>
              <w:rPr>
                <w:sz w:val="22"/>
              </w:rPr>
            </w:r>
          </w:p>
          <w:p>
            <w:pPr>
              <w:pStyle w:val="Normal"/>
              <w:ind w:start="720" w:end="0"/>
              <w:jc w:val="both"/>
              <w:rPr>
                <w:sz w:val="22"/>
              </w:rPr>
            </w:pPr>
            <w:r>
              <w:rPr>
                <w:sz w:val="22"/>
              </w:rPr>
              <w:t>(ii)</w:t>
              <w:tab/>
              <w:t>A description of expected Advances and Direct Payments for additional Agent activities and actions (including expected cost) in connection with the Project and the Sub-Contracts related thereto;</w:t>
            </w:r>
          </w:p>
          <w:p>
            <w:pPr>
              <w:pStyle w:val="Normal"/>
              <w:tabs>
                <w:tab w:val="left" w:pos="720" w:leader="none"/>
              </w:tabs>
              <w:jc w:val="both"/>
              <w:rPr>
                <w:sz w:val="22"/>
              </w:rPr>
            </w:pPr>
            <w:r>
              <w:rPr>
                <w:sz w:val="22"/>
              </w:rPr>
            </w:r>
          </w:p>
          <w:p>
            <w:pPr>
              <w:pStyle w:val="Normal"/>
              <w:ind w:start="720" w:end="0"/>
              <w:jc w:val="both"/>
              <w:rPr>
                <w:sz w:val="22"/>
              </w:rPr>
            </w:pPr>
            <w:r>
              <w:rPr>
                <w:sz w:val="22"/>
              </w:rPr>
              <w:t>(iii)</w:t>
              <w:tab/>
              <w:t>Other scheduled or anticipated payments in connection with (but not directly arising from) the Project and/or the Sub-Contracts, such as all Brazil, Cayman and other non-U.S. taxes, franchise fees, customs duties and related charges, Transaction Expenses (which are capitalized in accordance with GAAP), change orders and contractual cost escalators and costs and expenses related to foreign exchange hedge and related agreements;</w:t>
            </w:r>
          </w:p>
          <w:p>
            <w:pPr>
              <w:pStyle w:val="Normal"/>
              <w:tabs>
                <w:tab w:val="left" w:pos="720" w:leader="none"/>
              </w:tabs>
              <w:jc w:val="both"/>
              <w:rPr>
                <w:sz w:val="22"/>
              </w:rPr>
            </w:pPr>
            <w:r>
              <w:rPr>
                <w:sz w:val="22"/>
              </w:rPr>
            </w:r>
          </w:p>
          <w:p>
            <w:pPr>
              <w:pStyle w:val="Normal"/>
              <w:ind w:start="720" w:end="0"/>
              <w:jc w:val="both"/>
              <w:rPr>
                <w:sz w:val="22"/>
              </w:rPr>
            </w:pPr>
            <w:r>
              <w:rPr>
                <w:sz w:val="22"/>
              </w:rPr>
              <w:t>(iv)</w:t>
              <w:tab/>
              <w:t>A specific amount for contingent payments to third parties other than lenders for indemnification payments, additional taxes (including without limitation any cross-border, Brazilian, Cayman or international tax, but excluding Owner's income taxes calculated as if the CAA were considered a financing), penalties, cancellation or other wind-up expenses, change orders, contractual cost escalators, or other additional costs Owner may bear as the result of the Agent's acts or failures to act within the Scope of Authority and Required Actions;</w:t>
            </w:r>
          </w:p>
          <w:p>
            <w:pPr>
              <w:pStyle w:val="Normal"/>
              <w:tabs>
                <w:tab w:val="left" w:pos="720" w:leader="none"/>
              </w:tabs>
              <w:jc w:val="both"/>
              <w:rPr>
                <w:sz w:val="22"/>
              </w:rPr>
            </w:pPr>
            <w:r>
              <w:rPr>
                <w:sz w:val="22"/>
              </w:rPr>
            </w:r>
          </w:p>
          <w:p>
            <w:pPr>
              <w:pStyle w:val="Normal"/>
              <w:ind w:start="720" w:end="0"/>
              <w:jc w:val="both"/>
              <w:rPr>
                <w:sz w:val="22"/>
              </w:rPr>
            </w:pPr>
            <w:r>
              <w:rPr>
                <w:sz w:val="22"/>
              </w:rPr>
              <w:t>(v)</w:t>
              <w:tab/>
              <w:t>An amount for the expected premia and other costs associated with insurance that Agent will arrange on Owner's behalf (described below);</w:t>
            </w:r>
          </w:p>
          <w:p>
            <w:pPr>
              <w:pStyle w:val="Normal"/>
              <w:tabs>
                <w:tab w:val="left" w:pos="720" w:leader="none"/>
              </w:tabs>
              <w:jc w:val="both"/>
              <w:rPr>
                <w:sz w:val="22"/>
              </w:rPr>
            </w:pPr>
            <w:r>
              <w:rPr>
                <w:sz w:val="22"/>
              </w:rPr>
            </w:r>
          </w:p>
          <w:p>
            <w:pPr>
              <w:pStyle w:val="Normal"/>
              <w:ind w:start="720" w:end="0"/>
              <w:jc w:val="both"/>
              <w:rPr>
                <w:sz w:val="22"/>
              </w:rPr>
            </w:pPr>
            <w:r>
              <w:rPr>
                <w:sz w:val="22"/>
              </w:rPr>
              <w:t>(vi)</w:t>
              <w:tab/>
              <w:t>Allowance for Owner's Cost of Financing (but excluding any imputed equity yield to Owner or other party);</w:t>
            </w:r>
          </w:p>
          <w:p>
            <w:pPr>
              <w:pStyle w:val="Normal"/>
              <w:tabs>
                <w:tab w:val="left" w:pos="720" w:leader="none"/>
              </w:tabs>
              <w:jc w:val="both"/>
              <w:rPr>
                <w:sz w:val="22"/>
              </w:rPr>
            </w:pPr>
            <w:r>
              <w:rPr>
                <w:sz w:val="22"/>
              </w:rPr>
            </w:r>
          </w:p>
          <w:p>
            <w:pPr>
              <w:pStyle w:val="Normal"/>
              <w:ind w:start="720" w:end="0"/>
              <w:jc w:val="both"/>
              <w:rPr>
                <w:sz w:val="22"/>
              </w:rPr>
            </w:pPr>
            <w:r>
              <w:rPr>
                <w:sz w:val="22"/>
              </w:rPr>
              <w:t>(vii)</w:t>
              <w:tab/>
              <w:t>An agent's fee;</w:t>
            </w:r>
          </w:p>
          <w:p>
            <w:pPr>
              <w:pStyle w:val="Normal"/>
              <w:tabs>
                <w:tab w:val="left" w:pos="720" w:leader="none"/>
              </w:tabs>
              <w:jc w:val="both"/>
              <w:rPr>
                <w:sz w:val="22"/>
              </w:rPr>
            </w:pPr>
            <w:r>
              <w:rPr>
                <w:sz w:val="22"/>
              </w:rPr>
            </w:r>
          </w:p>
          <w:p>
            <w:pPr>
              <w:pStyle w:val="Normal"/>
              <w:ind w:start="720" w:end="0"/>
              <w:jc w:val="both"/>
              <w:rPr>
                <w:sz w:val="22"/>
              </w:rPr>
            </w:pPr>
            <w:r>
              <w:rPr>
                <w:sz w:val="22"/>
              </w:rPr>
              <w:t>(viii)</w:t>
              <w:tab/>
              <w:t>An amount for reimbursement to Agent for soft costs and payment to Agent of certain premiums associated with the purchase of certain of the project entities by the [Accommodation Party] on the Closing Date, as described above; and</w:t>
            </w:r>
          </w:p>
          <w:p>
            <w:pPr>
              <w:pStyle w:val="Normal"/>
              <w:tabs>
                <w:tab w:val="left" w:pos="720" w:leader="none"/>
              </w:tabs>
              <w:jc w:val="both"/>
              <w:rPr>
                <w:rFonts w:eastAsia="Arial"/>
                <w:sz w:val="22"/>
              </w:rPr>
            </w:pPr>
            <w:r>
              <w:rPr>
                <w:rFonts w:eastAsia="Arial"/>
                <w:sz w:val="22"/>
              </w:rPr>
              <w:t xml:space="preserve"> </w:t>
            </w:r>
          </w:p>
          <w:p>
            <w:pPr>
              <w:pStyle w:val="Normal"/>
              <w:ind w:start="720" w:end="0"/>
              <w:jc w:val="both"/>
              <w:rPr>
                <w:sz w:val="22"/>
              </w:rPr>
            </w:pPr>
            <w:r>
              <w:rPr>
                <w:sz w:val="22"/>
              </w:rPr>
              <w:t>(ix)</w:t>
              <w:tab/>
              <w:t>An allocation for Letter of Credit fees, cancellation payments or penalties under the EPC Contracts.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For the purpose of allowing Agent to exercise the Facility Purchase Option, and calculating a pro rata Termination Amount allocable to the Facility so purchased, the Budget shall be broken down by Facility.  Nevertheless, use of Budget amounts will not be restricted on a single Facility basis.</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Accuracy of Budget:</w:t>
            </w:r>
          </w:p>
        </w:tc>
        <w:tc>
          <w:tcPr>
            <w:tcW w:w="5760" w:type="dxa"/>
            <w:tcBorders/>
          </w:tcPr>
          <w:p>
            <w:pPr>
              <w:pStyle w:val="Normal"/>
              <w:jc w:val="both"/>
              <w:rPr>
                <w:sz w:val="22"/>
              </w:rPr>
            </w:pPr>
            <w:r>
              <w:rPr>
                <w:sz w:val="22"/>
              </w:rPr>
              <w:t>Based upon Agent's experience in the international energy generating industry, Agent will conclude that the amounts set forth in the Budget on the Closing Date are sufficient to satisfy all obligations, including payment obligations, of Owner to complete the Project.</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Non-Budget Amounts:</w:t>
            </w:r>
          </w:p>
        </w:tc>
        <w:tc>
          <w:tcPr>
            <w:tcW w:w="5760" w:type="dxa"/>
            <w:tcBorders/>
          </w:tcPr>
          <w:p>
            <w:pPr>
              <w:pStyle w:val="Normal"/>
              <w:jc w:val="both"/>
              <w:rPr/>
            </w:pPr>
            <w:r>
              <w:rPr>
                <w:sz w:val="22"/>
              </w:rPr>
              <w:t>Agent and Owner will also agree on a schedule of estimated amounts, which may be paid by Owner in connection with the Project and/or the Sub-Contracts but are outside the Budget (such estimated amounts plus any additional amounts actually paid by Owner in connection with the Project and/or the Sub-Contracts, collectively, the "</w:t>
            </w:r>
            <w:r>
              <w:rPr>
                <w:sz w:val="22"/>
                <w:u w:val="single"/>
              </w:rPr>
              <w:t>Non-Budget Amounts</w:t>
            </w:r>
            <w:r>
              <w:rPr>
                <w:sz w:val="22"/>
              </w:rPr>
              <w:t>"). The Non-Budget Amounts shall include, without limitation, the following:</w:t>
            </w:r>
          </w:p>
          <w:p>
            <w:pPr>
              <w:pStyle w:val="Normal"/>
              <w:jc w:val="both"/>
              <w:rPr>
                <w:sz w:val="22"/>
              </w:rPr>
            </w:pPr>
            <w:r>
              <w:rPr>
                <w:sz w:val="22"/>
              </w:rPr>
            </w:r>
          </w:p>
          <w:p>
            <w:pPr>
              <w:pStyle w:val="Normal"/>
              <w:ind w:hanging="720" w:start="720" w:end="0"/>
              <w:jc w:val="both"/>
              <w:rPr>
                <w:sz w:val="22"/>
              </w:rPr>
            </w:pPr>
            <w:r>
              <w:rPr>
                <w:sz w:val="22"/>
              </w:rPr>
              <w:t>(i)</w:t>
              <w:tab/>
              <w:t>Transaction costs of Owner which are not capitalized in accordance with GAAP, including fees for Owner; and</w:t>
            </w:r>
          </w:p>
          <w:p>
            <w:pPr>
              <w:pStyle w:val="Normal"/>
              <w:tabs>
                <w:tab w:val="left" w:pos="720" w:leader="none"/>
              </w:tabs>
              <w:jc w:val="both"/>
              <w:rPr>
                <w:sz w:val="22"/>
              </w:rPr>
            </w:pPr>
            <w:r>
              <w:rPr>
                <w:sz w:val="22"/>
              </w:rPr>
            </w:r>
          </w:p>
          <w:p>
            <w:pPr>
              <w:pStyle w:val="Normal"/>
              <w:ind w:hanging="720" w:start="720" w:end="0"/>
              <w:jc w:val="both"/>
              <w:rPr>
                <w:sz w:val="22"/>
              </w:rPr>
            </w:pPr>
            <w:r>
              <w:rPr>
                <w:sz w:val="22"/>
              </w:rPr>
              <w:t>(ii)</w:t>
              <w:tab/>
              <w:t>An estimated amount for contingent payments to third parties other than lenders for indemnification payments, additional taxes, penalties, cancellation or other wind-up expenses, change orders, contractual cost escalations or other additional costs that Owner may bear that either (a) are not as the result of Agent's act or failure to act within its Scope of Authority and Required Actions; or (b) would not give rise to an obligation of Agent to Owner.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For the purpose of allowing Agent to exercise the Facility Purchase Option, and calculating a pro rata Termination Amount allocable to the Facility so purchased, the Non-Budget Amounts shall be broken down by Facility. Nevertheless, use of Non-Budget Amounts will not be restricted on a single Facility basis.</w:t>
            </w:r>
          </w:p>
        </w:tc>
      </w:tr>
    </w:tbl>
    <w:p>
      <w:pPr>
        <w:pStyle w:val="Caption"/>
        <w:rPr/>
      </w:pPr>
      <w:r>
        <w:rPr/>
      </w:r>
    </w:p>
    <w:p>
      <w:pPr>
        <w:pStyle w:val="Caption"/>
        <w:rPr/>
      </w:pPr>
      <w:r>
        <w:rPr/>
      </w:r>
    </w:p>
    <w:p>
      <w:pPr>
        <w:pStyle w:val="Caption"/>
        <w:keepNext w:val="true"/>
        <w:rPr>
          <w:sz w:val="24"/>
        </w:rPr>
      </w:pPr>
      <w:r>
        <w:rPr>
          <w:sz w:val="24"/>
        </w:rPr>
        <w:t>Advances and Direct Payments</w:t>
      </w:r>
    </w:p>
    <w:p>
      <w:pPr>
        <w:pStyle w:val="Normal"/>
        <w:keepNext w:val="true"/>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Aggregate Owner’s Commitment:</w:t>
            </w:r>
          </w:p>
        </w:tc>
        <w:tc>
          <w:tcPr>
            <w:tcW w:w="5760" w:type="dxa"/>
            <w:tcBorders/>
          </w:tcPr>
          <w:p>
            <w:pPr>
              <w:pStyle w:val="Normal"/>
              <w:jc w:val="both"/>
              <w:rPr/>
            </w:pPr>
            <w:r>
              <w:rPr>
                <w:sz w:val="22"/>
              </w:rPr>
              <w:t>Before or on the Closing Date, Owner and Agent will agree on the maximum aggregate amount required under the Budget and the Non-Budget Amounts to complete the Project, which will be an amount not to exceed U.S.$[980,000,000] (the</w:t>
            </w:r>
            <w:r>
              <w:rPr>
                <w:b/>
                <w:sz w:val="22"/>
              </w:rPr>
              <w:t xml:space="preserve"> </w:t>
            </w:r>
            <w:r>
              <w:rPr>
                <w:sz w:val="22"/>
              </w:rPr>
              <w:t>“</w:t>
            </w:r>
            <w:r>
              <w:rPr>
                <w:sz w:val="22"/>
                <w:u w:val="single"/>
              </w:rPr>
              <w:t>Aggregate Owner’s Commitment</w:t>
            </w:r>
            <w:r>
              <w:rPr>
                <w:sz w:val="22"/>
              </w:rPr>
              <w:t>”).</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Draws:</w:t>
            </w:r>
          </w:p>
        </w:tc>
        <w:tc>
          <w:tcPr>
            <w:tcW w:w="5760" w:type="dxa"/>
            <w:tcBorders/>
          </w:tcPr>
          <w:p>
            <w:pPr>
              <w:pStyle w:val="Normal"/>
              <w:jc w:val="both"/>
              <w:rPr>
                <w:sz w:val="22"/>
              </w:rPr>
            </w:pPr>
            <w:r>
              <w:rPr>
                <w:sz w:val="22"/>
              </w:rPr>
              <w:t>Agent may from time to time make Draws under the Loan Agreement which are contemplated under the Budget. Payments will include either Advances or Direct Payments.</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Advances:</w:t>
            </w:r>
          </w:p>
        </w:tc>
        <w:tc>
          <w:tcPr>
            <w:tcW w:w="5760" w:type="dxa"/>
            <w:tcBorders/>
          </w:tcPr>
          <w:p>
            <w:pPr>
              <w:pStyle w:val="Normal"/>
              <w:jc w:val="both"/>
              <w:rPr>
                <w:sz w:val="22"/>
              </w:rPr>
            </w:pPr>
            <w:r>
              <w:rPr>
                <w:sz w:val="22"/>
              </w:rPr>
              <w:t>Advances shall mean funds advanced to Agent by Owner pursuant to the Budget to make payment to Third Parties or as reimbursement for Agent's or any of its affiliate's costs and expenses incurred or accrued in connection with Agent's Required Actions not less frequently than is normal or customary for the construction of a power generation plant in the power generation industry or otherwise in a timely manner.</w:t>
            </w:r>
          </w:p>
          <w:p>
            <w:pPr>
              <w:pStyle w:val="Normal"/>
              <w:jc w:val="both"/>
              <w:rPr>
                <w:sz w:val="22"/>
              </w:rPr>
            </w:pPr>
            <w:r>
              <w:rPr>
                <w:sz w:val="22"/>
              </w:rPr>
            </w:r>
          </w:p>
          <w:p>
            <w:pPr>
              <w:pStyle w:val="Normal"/>
              <w:jc w:val="both"/>
              <w:rPr>
                <w:sz w:val="22"/>
              </w:rPr>
            </w:pPr>
            <w:r>
              <w:rPr>
                <w:sz w:val="22"/>
              </w:rPr>
              <w:t>Advances will include reimbursement to Agent for payments to the EPC Contractors and the Sub-Contractors under the Sub-Contracts and other parties.</w:t>
            </w:r>
          </w:p>
          <w:p>
            <w:pPr>
              <w:pStyle w:val="Normal"/>
              <w:jc w:val="both"/>
              <w:rPr>
                <w:sz w:val="22"/>
              </w:rPr>
            </w:pPr>
            <w:r>
              <w:rPr>
                <w:sz w:val="22"/>
              </w:rPr>
            </w:r>
          </w:p>
          <w:p>
            <w:pPr>
              <w:pStyle w:val="Normal"/>
              <w:jc w:val="both"/>
              <w:rPr>
                <w:sz w:val="22"/>
              </w:rPr>
            </w:pPr>
            <w:r>
              <w:rPr>
                <w:sz w:val="22"/>
              </w:rPr>
              <w:t xml:space="preserve">Advances shall only be made to Agent in a US bank account, which in return will be responsible for disbursing funds to the EPC Contractors, the Sub-Contractors or other third parties. </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Direct Payments:</w:t>
            </w:r>
          </w:p>
        </w:tc>
        <w:tc>
          <w:tcPr>
            <w:tcW w:w="5760" w:type="dxa"/>
            <w:tcBorders/>
          </w:tcPr>
          <w:p>
            <w:pPr>
              <w:pStyle w:val="Normal"/>
              <w:jc w:val="both"/>
              <w:rPr>
                <w:sz w:val="22"/>
              </w:rPr>
            </w:pPr>
            <w:r>
              <w:rPr>
                <w:sz w:val="22"/>
              </w:rPr>
              <w:t>Direct Payment shall mean all payments actually made, incurred or accrued directly to parties other than lenders by Owner pursuant to the Budget or made by Owner as a Non-Budget Amount for the successful development and completion of the Project, including, without limitation, (i) payments made by Owner to third parties for indemnification claims, additional taxes, penalties, cancellation fees, Financing Costs (as defined below) and additional costs borne by Owner contemplated as a contingency item in the Budget, and (ii) payment of a Non-Budget Amount, including Owner's fees.</w:t>
            </w:r>
          </w:p>
          <w:p>
            <w:pPr>
              <w:pStyle w:val="Normal"/>
              <w:jc w:val="both"/>
              <w:rPr>
                <w:sz w:val="22"/>
              </w:rPr>
            </w:pPr>
            <w:r>
              <w:rPr>
                <w:sz w:val="22"/>
              </w:rPr>
            </w:r>
          </w:p>
          <w:p>
            <w:pPr>
              <w:pStyle w:val="Normal"/>
              <w:jc w:val="both"/>
              <w:rPr>
                <w:sz w:val="22"/>
              </w:rPr>
            </w:pPr>
            <w:r>
              <w:rPr>
                <w:sz w:val="22"/>
              </w:rPr>
              <w:t>For Direct Payments made pursuant to the Budget, Owner will make payments directly only to reputable entities with a US bank account, except as otherwise agreed by Lender.</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Outstanding Draws:</w:t>
            </w:r>
          </w:p>
        </w:tc>
        <w:tc>
          <w:tcPr>
            <w:tcW w:w="5760" w:type="dxa"/>
            <w:tcBorders/>
          </w:tcPr>
          <w:p>
            <w:pPr>
              <w:pStyle w:val="Normal"/>
              <w:jc w:val="both"/>
              <w:rPr>
                <w:sz w:val="22"/>
              </w:rPr>
            </w:pPr>
            <w:r>
              <w:rPr>
                <w:sz w:val="22"/>
              </w:rPr>
              <w:t>The aggregate amount of Advances made to Agent and Direct Payments according to the Budget will be included in the Funded Budget Amount.</w:t>
            </w:r>
          </w:p>
          <w:p>
            <w:pPr>
              <w:pStyle w:val="Normal"/>
              <w:jc w:val="both"/>
              <w:rPr>
                <w:sz w:val="22"/>
              </w:rPr>
            </w:pPr>
            <w:r>
              <w:rPr>
                <w:sz w:val="22"/>
              </w:rPr>
            </w:r>
          </w:p>
          <w:p>
            <w:pPr>
              <w:pStyle w:val="Normal"/>
              <w:jc w:val="both"/>
              <w:rPr>
                <w:sz w:val="22"/>
              </w:rPr>
            </w:pPr>
            <w:r>
              <w:rPr>
                <w:sz w:val="22"/>
              </w:rPr>
              <w:t>The aggregate amount of Direct Payments made by Owner according to the Non-Budget Amounts will be included in the Funded Non-Budget Amount.</w:t>
            </w:r>
          </w:p>
          <w:p>
            <w:pPr>
              <w:pStyle w:val="Normal"/>
              <w:jc w:val="both"/>
              <w:rPr>
                <w:sz w:val="22"/>
              </w:rPr>
            </w:pPr>
            <w:r>
              <w:rPr>
                <w:sz w:val="22"/>
              </w:rPr>
            </w:r>
          </w:p>
          <w:p>
            <w:pPr>
              <w:pStyle w:val="Normal"/>
              <w:jc w:val="both"/>
              <w:rPr>
                <w:sz w:val="22"/>
              </w:rPr>
            </w:pPr>
            <w:r>
              <w:rPr>
                <w:sz w:val="22"/>
              </w:rPr>
              <w:t>At any time, Outstanding Draws will equal the sum of the Funded Budget Amount and the Funded Non-Budget Amount, but will not exceed the Aggregate Owner’s Commitment.</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Financing:</w:t>
            </w:r>
          </w:p>
        </w:tc>
        <w:tc>
          <w:tcPr>
            <w:tcW w:w="5760" w:type="dxa"/>
            <w:tcBorders/>
          </w:tcPr>
          <w:p>
            <w:pPr>
              <w:pStyle w:val="Normal"/>
              <w:jc w:val="both"/>
              <w:rPr/>
            </w:pPr>
            <w:r>
              <w:rPr>
                <w:sz w:val="22"/>
              </w:rPr>
              <w:t>Owner will directly arrange or provide financing for the Aggregate Owner’s Commitment (the “</w:t>
            </w:r>
            <w:r>
              <w:rPr>
                <w:sz w:val="22"/>
                <w:u w:val="single"/>
              </w:rPr>
              <w:t>Financing Amount</w:t>
            </w:r>
            <w:r>
              <w:rPr>
                <w:sz w:val="22"/>
              </w:rPr>
              <w:t>”).</w:t>
            </w:r>
          </w:p>
          <w:p>
            <w:pPr>
              <w:pStyle w:val="Normal"/>
              <w:jc w:val="both"/>
              <w:rPr>
                <w:sz w:val="22"/>
              </w:rPr>
            </w:pPr>
            <w:r>
              <w:rPr>
                <w:sz w:val="22"/>
              </w:rPr>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Allowance for Owner’s Cost of Financing:</w:t>
            </w:r>
          </w:p>
        </w:tc>
        <w:tc>
          <w:tcPr>
            <w:tcW w:w="5760" w:type="dxa"/>
            <w:tcBorders/>
          </w:tcPr>
          <w:p>
            <w:pPr>
              <w:pStyle w:val="Normal"/>
              <w:jc w:val="both"/>
              <w:rPr/>
            </w:pPr>
            <w:r>
              <w:rPr>
                <w:sz w:val="22"/>
              </w:rPr>
              <w:t>An allowance to Owner for the cost of Owner’s financing, whether or not provided by Owner (the “</w:t>
            </w:r>
            <w:r>
              <w:rPr>
                <w:sz w:val="22"/>
                <w:u w:val="single"/>
              </w:rPr>
              <w:t>Financing Cost</w:t>
            </w:r>
            <w:r>
              <w:rPr>
                <w:sz w:val="22"/>
              </w:rPr>
              <w:t>”) will be specified in the Budget, as agreed by Agent and Owner.  Owner’s actual cost of financing shall be based on actual interest expense incurred.</w:t>
            </w:r>
          </w:p>
        </w:tc>
      </w:tr>
    </w:tbl>
    <w:p>
      <w:pPr>
        <w:pStyle w:val="Normal"/>
        <w:rPr>
          <w:sz w:val="22"/>
        </w:rPr>
      </w:pPr>
      <w:r>
        <w:rPr>
          <w:sz w:val="22"/>
        </w:rPr>
      </w:r>
    </w:p>
    <w:p>
      <w:pPr>
        <w:pStyle w:val="Heading1"/>
        <w:ind w:hanging="0" w:start="0"/>
        <w:rPr>
          <w:sz w:val="22"/>
        </w:rPr>
      </w:pPr>
      <w:r>
        <w:rPr>
          <w:sz w:val="22"/>
        </w:rPr>
      </w:r>
    </w:p>
    <w:p>
      <w:pPr>
        <w:pStyle w:val="Normal"/>
        <w:rPr/>
      </w:pPr>
      <w:r>
        <w:rPr/>
      </w:r>
    </w:p>
    <w:p>
      <w:pPr>
        <w:pStyle w:val="Heading1"/>
        <w:ind w:hanging="0" w:start="0"/>
        <w:rPr>
          <w:sz w:val="24"/>
        </w:rPr>
      </w:pPr>
      <w:r>
        <w:rPr>
          <w:sz w:val="24"/>
        </w:rPr>
        <w:t>Insurance</w:t>
      </w:r>
    </w:p>
    <w:p>
      <w:pPr>
        <w:pStyle w:val="Normal"/>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Coverage:</w:t>
            </w:r>
          </w:p>
        </w:tc>
        <w:tc>
          <w:tcPr>
            <w:tcW w:w="5760" w:type="dxa"/>
            <w:tcBorders/>
          </w:tcPr>
          <w:p>
            <w:pPr>
              <w:pStyle w:val="Normal"/>
              <w:jc w:val="both"/>
              <w:rPr>
                <w:sz w:val="22"/>
              </w:rPr>
            </w:pPr>
            <w:r>
              <w:rPr>
                <w:sz w:val="22"/>
              </w:rPr>
              <w:t>In accordance with Agent’s Required Actions and the Budget, Agent will arrange (i) all appropriate and comprehensive property and liability insurance on behalf of Owner, including condemnation insurance, which insurance shall be consistent with the insurance requirements mutually acceptable to Owner and Lender and set forth in the CAA, and (ii) appropriate political risk insurance on behalf of the Lender, which insurance shall be consistent with the insurance requirements set forth in the Loan Agreement (collectively, the “Insurance Requirements”). The cost of such insurance will be paid by Owner in accordance with the applicable Budget.  Following the execution and delivery of any Project Loan Agreement, the insurance requirements for the applicable Facility shall be determined pursuant to the insurance requirements set forth in such Project Loan Agreement.</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Insurance Consultant:</w:t>
            </w:r>
          </w:p>
        </w:tc>
        <w:tc>
          <w:tcPr>
            <w:tcW w:w="5760" w:type="dxa"/>
            <w:tcBorders/>
          </w:tcPr>
          <w:p>
            <w:pPr>
              <w:pStyle w:val="Normal"/>
              <w:jc w:val="both"/>
              <w:rPr>
                <w:sz w:val="22"/>
              </w:rPr>
            </w:pPr>
            <w:r>
              <w:rPr>
                <w:sz w:val="22"/>
              </w:rPr>
              <w:t>Lender may retain an insurance consultant to review and approve the insurance coverage prior to the close of the Transaction, and during the term of the Transaction as may be reasonably required by Owner and Lender.</w:t>
            </w:r>
          </w:p>
        </w:tc>
      </w:tr>
    </w:tbl>
    <w:p>
      <w:pPr>
        <w:pStyle w:val="Normal"/>
        <w:rPr>
          <w:sz w:val="22"/>
        </w:rPr>
      </w:pPr>
      <w:r>
        <w:rPr>
          <w:sz w:val="22"/>
        </w:rPr>
      </w:r>
    </w:p>
    <w:p>
      <w:pPr>
        <w:pStyle w:val="Normal"/>
        <w:rPr>
          <w:sz w:val="22"/>
        </w:rPr>
      </w:pPr>
      <w:r>
        <w:rPr>
          <w:sz w:val="22"/>
        </w:rPr>
      </w:r>
    </w:p>
    <w:p>
      <w:pPr>
        <w:pStyle w:val="Heading1"/>
        <w:ind w:hanging="0" w:start="0"/>
        <w:rPr>
          <w:sz w:val="24"/>
        </w:rPr>
      </w:pPr>
      <w:r>
        <w:rPr>
          <w:sz w:val="24"/>
        </w:rPr>
        <w:t>Representations, Warranties and Covenants</w:t>
      </w:r>
    </w:p>
    <w:p>
      <w:pPr>
        <w:pStyle w:val="Normal"/>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Representations and Warranties of Agent:</w:t>
            </w:r>
          </w:p>
        </w:tc>
        <w:tc>
          <w:tcPr>
            <w:tcW w:w="5760" w:type="dxa"/>
            <w:tcBorders/>
          </w:tcPr>
          <w:p>
            <w:pPr>
              <w:pStyle w:val="Normal"/>
              <w:jc w:val="both"/>
              <w:rPr>
                <w:sz w:val="22"/>
              </w:rPr>
            </w:pPr>
            <w:r>
              <w:rPr>
                <w:sz w:val="22"/>
              </w:rPr>
              <w:t>The Transaction Agreements will contain standard and customary representations and warranties, including a representation and warranty that the Property is not subject to any non-remote environmental risk.</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Operational Covenants of Agent:</w:t>
            </w:r>
          </w:p>
        </w:tc>
        <w:tc>
          <w:tcPr>
            <w:tcW w:w="5760" w:type="dxa"/>
            <w:tcBorders/>
          </w:tcPr>
          <w:p>
            <w:pPr>
              <w:pStyle w:val="Normal"/>
              <w:jc w:val="both"/>
              <w:rPr>
                <w:sz w:val="22"/>
              </w:rPr>
            </w:pPr>
            <w:r>
              <w:rPr>
                <w:sz w:val="22"/>
              </w:rPr>
              <w:t>The Transaction Agreements will contain standard and customary operational covenants.</w:t>
            </w:r>
          </w:p>
        </w:tc>
      </w:tr>
    </w:tbl>
    <w:p>
      <w:pPr>
        <w:pStyle w:val="Normal"/>
        <w:rPr>
          <w:sz w:val="22"/>
        </w:rPr>
      </w:pPr>
      <w:r>
        <w:rPr>
          <w:sz w:val="22"/>
        </w:rPr>
      </w:r>
    </w:p>
    <w:p>
      <w:pPr>
        <w:pStyle w:val="Normal"/>
        <w:rPr>
          <w:sz w:val="22"/>
        </w:rPr>
      </w:pPr>
      <w:r>
        <w:rPr>
          <w:sz w:val="22"/>
        </w:rPr>
      </w:r>
    </w:p>
    <w:p>
      <w:pPr>
        <w:pStyle w:val="Heading1"/>
        <w:ind w:hanging="0" w:start="0"/>
        <w:rPr>
          <w:sz w:val="24"/>
        </w:rPr>
      </w:pPr>
      <w:r>
        <w:rPr>
          <w:sz w:val="24"/>
        </w:rPr>
        <w:t>Events of Default</w:t>
      </w:r>
    </w:p>
    <w:p>
      <w:pPr>
        <w:pStyle w:val="Normal"/>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Agent Events of Default:</w:t>
            </w:r>
          </w:p>
        </w:tc>
        <w:tc>
          <w:tcPr>
            <w:tcW w:w="5760" w:type="dxa"/>
            <w:tcBorders/>
          </w:tcPr>
          <w:p>
            <w:pPr>
              <w:pStyle w:val="Normal"/>
              <w:jc w:val="both"/>
              <w:rPr/>
            </w:pPr>
            <w:r>
              <w:rPr>
                <w:sz w:val="22"/>
              </w:rPr>
              <w:t>The CAA will contain Events of Default and cure periods usual for Construction Agency Agreements of this type, and will include, but not limited to, the following events (each an "</w:t>
            </w:r>
            <w:r>
              <w:rPr>
                <w:sz w:val="22"/>
                <w:u w:val="single"/>
              </w:rPr>
              <w:t>Agent Event of Default</w:t>
            </w:r>
            <w:r>
              <w:rPr>
                <w:sz w:val="22"/>
              </w:rPr>
              <w:t>"):</w:t>
            </w:r>
          </w:p>
          <w:p>
            <w:pPr>
              <w:pStyle w:val="Normal"/>
              <w:jc w:val="both"/>
              <w:rPr>
                <w:sz w:val="22"/>
              </w:rPr>
            </w:pPr>
            <w:r>
              <w:rPr>
                <w:sz w:val="22"/>
              </w:rPr>
            </w:r>
          </w:p>
          <w:p>
            <w:pPr>
              <w:pStyle w:val="Normal"/>
              <w:ind w:hanging="720" w:start="720" w:end="0"/>
              <w:jc w:val="both"/>
              <w:rPr>
                <w:sz w:val="22"/>
              </w:rPr>
            </w:pPr>
            <w:r>
              <w:rPr>
                <w:sz w:val="22"/>
              </w:rPr>
              <w:t>(i)</w:t>
              <w:tab/>
              <w:t>Misapplication of funds under Advances;</w:t>
            </w:r>
          </w:p>
          <w:p>
            <w:pPr>
              <w:pStyle w:val="Normal"/>
              <w:tabs>
                <w:tab w:val="left" w:pos="720" w:leader="none"/>
              </w:tabs>
              <w:jc w:val="both"/>
              <w:rPr>
                <w:sz w:val="22"/>
              </w:rPr>
            </w:pPr>
            <w:r>
              <w:rPr>
                <w:sz w:val="22"/>
              </w:rPr>
            </w:r>
          </w:p>
          <w:p>
            <w:pPr>
              <w:pStyle w:val="Normal"/>
              <w:ind w:hanging="720" w:start="720" w:end="0"/>
              <w:jc w:val="both"/>
              <w:rPr>
                <w:sz w:val="22"/>
              </w:rPr>
            </w:pPr>
            <w:r>
              <w:rPr>
                <w:sz w:val="22"/>
              </w:rPr>
              <w:t>(ii)</w:t>
              <w:tab/>
              <w:t>Inaccuracy in representations and warranties;</w:t>
            </w:r>
          </w:p>
          <w:p>
            <w:pPr>
              <w:pStyle w:val="Normal"/>
              <w:tabs>
                <w:tab w:val="left" w:pos="720" w:leader="none"/>
              </w:tabs>
              <w:jc w:val="both"/>
              <w:rPr>
                <w:sz w:val="22"/>
              </w:rPr>
            </w:pPr>
            <w:r>
              <w:rPr>
                <w:sz w:val="22"/>
              </w:rPr>
            </w:r>
          </w:p>
          <w:p>
            <w:pPr>
              <w:pStyle w:val="Normal"/>
              <w:ind w:hanging="720" w:start="720" w:end="0"/>
              <w:jc w:val="both"/>
              <w:rPr>
                <w:sz w:val="22"/>
              </w:rPr>
            </w:pPr>
            <w:r>
              <w:rPr>
                <w:sz w:val="22"/>
              </w:rPr>
              <w:t>(iii)</w:t>
              <w:tab/>
              <w:t>Bankruptcy;</w:t>
            </w:r>
          </w:p>
          <w:p>
            <w:pPr>
              <w:pStyle w:val="Normal"/>
              <w:tabs>
                <w:tab w:val="left" w:pos="720" w:leader="none"/>
              </w:tabs>
              <w:jc w:val="both"/>
              <w:rPr>
                <w:sz w:val="22"/>
              </w:rPr>
            </w:pPr>
            <w:r>
              <w:rPr>
                <w:sz w:val="22"/>
              </w:rPr>
            </w:r>
          </w:p>
          <w:p>
            <w:pPr>
              <w:pStyle w:val="Normal"/>
              <w:ind w:hanging="720" w:start="720" w:end="0"/>
              <w:jc w:val="both"/>
              <w:rPr>
                <w:sz w:val="22"/>
              </w:rPr>
            </w:pPr>
            <w:r>
              <w:rPr>
                <w:sz w:val="22"/>
              </w:rPr>
              <w:t>(iv)</w:t>
              <w:tab/>
              <w:t>Insolvency;</w:t>
            </w:r>
          </w:p>
          <w:p>
            <w:pPr>
              <w:pStyle w:val="Normal"/>
              <w:tabs>
                <w:tab w:val="left" w:pos="720" w:leader="none"/>
              </w:tabs>
              <w:jc w:val="both"/>
              <w:rPr>
                <w:sz w:val="22"/>
              </w:rPr>
            </w:pPr>
            <w:r>
              <w:rPr>
                <w:sz w:val="22"/>
              </w:rPr>
            </w:r>
          </w:p>
          <w:p>
            <w:pPr>
              <w:pStyle w:val="Normal"/>
              <w:ind w:hanging="720" w:start="720" w:end="0"/>
              <w:jc w:val="both"/>
              <w:rPr>
                <w:sz w:val="22"/>
              </w:rPr>
            </w:pPr>
            <w:r>
              <w:rPr>
                <w:sz w:val="22"/>
              </w:rPr>
              <w:t>(v)</w:t>
              <w:tab/>
              <w:t>Failure to observe or perform any term, covenant or condition due to acts or failures to act of Agent and by reason of fraud, misapplication of funds, illegal acts or willful misconduct (including bad faith and gross negligence); and</w:t>
            </w:r>
          </w:p>
          <w:p>
            <w:pPr>
              <w:pStyle w:val="Normal"/>
              <w:tabs>
                <w:tab w:val="left" w:pos="720" w:leader="none"/>
              </w:tabs>
              <w:jc w:val="both"/>
              <w:rPr>
                <w:sz w:val="22"/>
              </w:rPr>
            </w:pPr>
            <w:r>
              <w:rPr>
                <w:sz w:val="22"/>
              </w:rPr>
            </w:r>
          </w:p>
          <w:p>
            <w:pPr>
              <w:pStyle w:val="Normal"/>
              <w:ind w:hanging="720" w:start="720" w:end="0"/>
              <w:jc w:val="both"/>
              <w:rPr>
                <w:sz w:val="22"/>
              </w:rPr>
            </w:pPr>
            <w:r>
              <w:rPr>
                <w:sz w:val="22"/>
              </w:rPr>
              <w:t>(vi)</w:t>
              <w:tab/>
              <w:t>Cross default to events of default under the Guaranty.</w:t>
            </w:r>
          </w:p>
          <w:p>
            <w:pPr>
              <w:pStyle w:val="Normal"/>
              <w:tabs>
                <w:tab w:val="left" w:pos="720" w:leader="none"/>
              </w:tabs>
              <w:jc w:val="both"/>
              <w:rPr>
                <w:sz w:val="22"/>
              </w:rPr>
            </w:pPr>
            <w:r>
              <w:rPr>
                <w:sz w:val="22"/>
              </w:rPr>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Remedies upon an Agent Event of Default:</w:t>
            </w:r>
          </w:p>
        </w:tc>
        <w:tc>
          <w:tcPr>
            <w:tcW w:w="5760" w:type="dxa"/>
            <w:tcBorders/>
          </w:tcPr>
          <w:p>
            <w:pPr>
              <w:pStyle w:val="BodyTextIndent"/>
              <w:spacing w:before="0" w:after="0"/>
              <w:ind w:start="0" w:end="0"/>
              <w:jc w:val="both"/>
              <w:rPr/>
            </w:pPr>
            <w:r>
              <w:rPr>
                <w:sz w:val="22"/>
              </w:rPr>
              <w:t>Agent may cure an Agent Event of Default by exercising the Project Purchase Option (or designating any other person or entity to exercise the Project Purchase Option (a “</w:t>
            </w:r>
            <w:r>
              <w:rPr>
                <w:sz w:val="22"/>
                <w:u w:val="single"/>
              </w:rPr>
              <w:t>Designee</w:t>
            </w:r>
            <w:r>
              <w:rPr>
                <w:sz w:val="22"/>
              </w:rPr>
              <w:t>”)) for a price equal to the Termination Amount. Upon such payment, Owner’s interest in the Project or the ownership interests in the entity so purchased, as applicable, will be transferred to Agent or the Designee, as the case may be, free and clear of any Owner, lessor or Lender liens.</w:t>
            </w:r>
          </w:p>
          <w:p>
            <w:pPr>
              <w:pStyle w:val="Normal"/>
              <w:jc w:val="both"/>
              <w:rPr>
                <w:sz w:val="22"/>
              </w:rPr>
            </w:pPr>
            <w:r>
              <w:rPr>
                <w:sz w:val="22"/>
              </w:rPr>
            </w:r>
          </w:p>
          <w:p>
            <w:pPr>
              <w:pStyle w:val="Normal"/>
              <w:jc w:val="both"/>
              <w:rPr>
                <w:sz w:val="22"/>
              </w:rPr>
            </w:pPr>
            <w:r>
              <w:rPr>
                <w:sz w:val="22"/>
              </w:rPr>
              <w:t>Upon the occurrence and continuation of an Agent Event of Default, Agent will be responsible for payment of the Termination Amount.  If Agent fails to pay the Termination Amount within five (5) Business Days (time periods and cure periods will be discussed in final documentation) of a request by Owner, the Owner may, among other options, retain its interest in the Project and any and all insurance proceeds.</w:t>
            </w:r>
          </w:p>
        </w:tc>
      </w:tr>
      <w:tr>
        <w:trPr/>
        <w:tc>
          <w:tcPr>
            <w:tcW w:w="2880" w:type="dxa"/>
            <w:tcBorders/>
          </w:tcPr>
          <w:p>
            <w:pPr>
              <w:pStyle w:val="Normal"/>
              <w:snapToGrid w:val="false"/>
              <w:rPr>
                <w:b/>
                <w:sz w:val="22"/>
              </w:rPr>
            </w:pPr>
            <w:r>
              <w:rPr>
                <w:b/>
                <w:sz w:val="22"/>
              </w:rPr>
            </w:r>
          </w:p>
        </w:tc>
        <w:tc>
          <w:tcPr>
            <w:tcW w:w="5760" w:type="dxa"/>
            <w:tcBorders/>
          </w:tcPr>
          <w:p>
            <w:pPr>
              <w:pStyle w:val="BodyTextIndent"/>
              <w:snapToGrid w:val="false"/>
              <w:spacing w:before="0" w:after="0"/>
              <w:ind w:start="0" w:end="0"/>
              <w:jc w:val="both"/>
              <w:rPr>
                <w:b/>
                <w:sz w:val="22"/>
              </w:rPr>
            </w:pPr>
            <w:r>
              <w:rPr>
                <w:b/>
                <w:sz w:val="22"/>
              </w:rPr>
            </w:r>
          </w:p>
        </w:tc>
      </w:tr>
      <w:tr>
        <w:trPr/>
        <w:tc>
          <w:tcPr>
            <w:tcW w:w="2880" w:type="dxa"/>
            <w:tcBorders/>
          </w:tcPr>
          <w:p>
            <w:pPr>
              <w:pStyle w:val="Normal"/>
              <w:rPr>
                <w:b/>
                <w:sz w:val="22"/>
              </w:rPr>
            </w:pPr>
            <w:r>
              <w:rPr>
                <w:b/>
                <w:sz w:val="22"/>
              </w:rPr>
              <w:t>Termination Amount:</w:t>
            </w:r>
          </w:p>
        </w:tc>
        <w:tc>
          <w:tcPr>
            <w:tcW w:w="5760" w:type="dxa"/>
            <w:tcBorders/>
          </w:tcPr>
          <w:p>
            <w:pPr>
              <w:pStyle w:val="BodyTextIndent"/>
              <w:spacing w:before="0" w:after="0"/>
              <w:ind w:start="0" w:end="0"/>
              <w:jc w:val="both"/>
              <w:rPr>
                <w:sz w:val="22"/>
              </w:rPr>
            </w:pPr>
            <w:r>
              <w:rPr>
                <w:sz w:val="22"/>
              </w:rPr>
              <w:t>The Termination Amount is the sum of the Funded Budget Amount and the Funded Non-Budget Amounts, plus any and all other costs of any nature, including cancellation or wind-up costs, incurred, accrued or reasonably anticipated by Owner, directly or indirectly, with respect to the Property or the Transaction contemplated hereby.</w:t>
            </w:r>
          </w:p>
        </w:tc>
      </w:tr>
    </w:tbl>
    <w:p>
      <w:pPr>
        <w:pStyle w:val="Normal"/>
        <w:rPr>
          <w:sz w:val="22"/>
        </w:rPr>
      </w:pPr>
      <w:r>
        <w:rPr>
          <w:sz w:val="22"/>
        </w:rPr>
      </w:r>
    </w:p>
    <w:p>
      <w:pPr>
        <w:pStyle w:val="Normal"/>
        <w:rPr>
          <w:sz w:val="22"/>
        </w:rPr>
      </w:pPr>
      <w:r>
        <w:rPr>
          <w:sz w:val="22"/>
        </w:rPr>
      </w:r>
    </w:p>
    <w:p>
      <w:pPr>
        <w:pStyle w:val="Heading1"/>
        <w:ind w:hanging="0" w:start="0"/>
        <w:rPr>
          <w:sz w:val="24"/>
        </w:rPr>
      </w:pPr>
      <w:r>
        <w:rPr>
          <w:sz w:val="24"/>
        </w:rPr>
        <w:t>Termination by Owner; Failure to Complete</w:t>
      </w:r>
    </w:p>
    <w:p>
      <w:pPr>
        <w:pStyle w:val="Normal"/>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Owner Termination Events:</w:t>
            </w:r>
          </w:p>
        </w:tc>
        <w:tc>
          <w:tcPr>
            <w:tcW w:w="5760" w:type="dxa"/>
            <w:tcBorders/>
          </w:tcPr>
          <w:p>
            <w:pPr>
              <w:pStyle w:val="Normal"/>
              <w:jc w:val="both"/>
              <w:rPr/>
            </w:pPr>
            <w:r>
              <w:rPr>
                <w:sz w:val="22"/>
              </w:rPr>
              <w:t>Agent hereby agrees that Owner shall have the unconditional right and option to terminate the Aggregate Owner's Commitment upon the occurrence of any of the following events (the "</w:t>
            </w:r>
            <w:r>
              <w:rPr>
                <w:sz w:val="22"/>
                <w:u w:val="single"/>
              </w:rPr>
              <w:t>Owner Termination Events</w:t>
            </w:r>
            <w:r>
              <w:rPr>
                <w:sz w:val="22"/>
              </w:rPr>
              <w:t>"):</w:t>
            </w:r>
          </w:p>
          <w:p>
            <w:pPr>
              <w:pStyle w:val="Normal"/>
              <w:jc w:val="both"/>
              <w:rPr>
                <w:sz w:val="22"/>
              </w:rPr>
            </w:pPr>
            <w:r>
              <w:rPr>
                <w:sz w:val="22"/>
              </w:rPr>
            </w:r>
          </w:p>
          <w:p>
            <w:pPr>
              <w:pStyle w:val="Normal"/>
              <w:ind w:hanging="720" w:start="720" w:end="0"/>
              <w:jc w:val="both"/>
              <w:rPr/>
            </w:pPr>
            <w:r>
              <w:rPr>
                <w:sz w:val="22"/>
              </w:rPr>
              <w:t>(i)</w:t>
              <w:tab/>
              <w:t>As a direct or indirect result of any act or failure to act by Agent or any subcontractor, the amount of Advances and Direct Payments required to successfully complete the Project has exceeded, or is reasonably likely to exceed, the Aggregate Owner's Commitment</w:t>
            </w:r>
            <w:r>
              <w:rPr>
                <w:sz w:val="22"/>
                <w:u w:val="double"/>
              </w:rPr>
              <w:t>;</w:t>
            </w:r>
            <w:r>
              <w:rPr>
                <w:sz w:val="22"/>
              </w:rPr>
              <w:t xml:space="preserve"> or</w:t>
            </w:r>
          </w:p>
          <w:p>
            <w:pPr>
              <w:pStyle w:val="Normal"/>
              <w:tabs>
                <w:tab w:val="left" w:pos="720" w:leader="none"/>
              </w:tabs>
              <w:jc w:val="both"/>
              <w:rPr>
                <w:sz w:val="22"/>
              </w:rPr>
            </w:pPr>
            <w:r>
              <w:rPr>
                <w:sz w:val="22"/>
              </w:rPr>
            </w:r>
          </w:p>
          <w:p>
            <w:pPr>
              <w:pStyle w:val="Normal"/>
              <w:ind w:hanging="720" w:start="720" w:end="0"/>
              <w:jc w:val="both"/>
              <w:rPr/>
            </w:pPr>
            <w:r>
              <w:rPr>
                <w:sz w:val="22"/>
              </w:rPr>
              <w:t>(ii)</w:t>
              <w:tab/>
              <w:t>Agent has failed, or is</w:t>
            </w:r>
            <w:r>
              <w:rPr>
                <w:b/>
                <w:color w:val="FF0000"/>
                <w:sz w:val="22"/>
              </w:rPr>
              <w:t xml:space="preserve"> </w:t>
            </w:r>
            <w:r>
              <w:rPr>
                <w:sz w:val="22"/>
              </w:rPr>
              <w:t>reasonably likely to fail (despite good faith efforts), to perform the Required Actions, such failure continues for thirty (30) days after written notice thereof to Agent, and such failure has materially diminished the likelihood that the Project will be successfully completed in accordance with the Budget; or</w:t>
            </w:r>
          </w:p>
          <w:p>
            <w:pPr>
              <w:pStyle w:val="Normal"/>
              <w:tabs>
                <w:tab w:val="left" w:pos="720" w:leader="none"/>
              </w:tabs>
              <w:jc w:val="both"/>
              <w:rPr>
                <w:sz w:val="22"/>
              </w:rPr>
            </w:pPr>
            <w:r>
              <w:rPr>
                <w:sz w:val="22"/>
              </w:rPr>
            </w:r>
          </w:p>
          <w:p>
            <w:pPr>
              <w:pStyle w:val="Normal"/>
              <w:tabs>
                <w:tab w:val="left" w:pos="720" w:leader="none"/>
              </w:tabs>
              <w:ind w:hanging="720" w:start="720" w:end="0"/>
              <w:jc w:val="both"/>
              <w:rPr>
                <w:sz w:val="22"/>
              </w:rPr>
            </w:pPr>
            <w:r>
              <w:rPr>
                <w:sz w:val="22"/>
              </w:rPr>
              <w:t>(iii)</w:t>
              <w:tab/>
              <w:t>Agent has failed to provide and/or maintain the Guaranty and/or any other collateral as required by the Transaction Agreements.</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Owner Termination Notice:</w:t>
            </w:r>
          </w:p>
        </w:tc>
        <w:tc>
          <w:tcPr>
            <w:tcW w:w="5760" w:type="dxa"/>
            <w:tcBorders/>
          </w:tcPr>
          <w:p>
            <w:pPr>
              <w:pStyle w:val="Normal"/>
              <w:jc w:val="both"/>
              <w:rPr/>
            </w:pPr>
            <w:r>
              <w:rPr>
                <w:sz w:val="22"/>
              </w:rPr>
              <w:t>Upon the occurrence of any such Owner Termination Event, Owner shall deliver to Agent a written notice specifying in reasonable detail the nature of the Owner Termination Event (the "</w:t>
            </w:r>
            <w:r>
              <w:rPr>
                <w:sz w:val="22"/>
                <w:u w:val="single"/>
              </w:rPr>
              <w:t>Owner Termination Notice</w:t>
            </w:r>
            <w:r>
              <w:rPr>
                <w:sz w:val="22"/>
              </w:rPr>
              <w:t>"). Agent shall have thirty (30) days following the delivery of the Owner Termination Notice in which to exercise the Project Purchase Option. If Agent fails to so exercise the Project Purchase Option, Owner may exercise Owner's Remarketing Option.</w:t>
            </w:r>
          </w:p>
        </w:tc>
      </w:tr>
    </w:tbl>
    <w:p>
      <w:pPr>
        <w:pStyle w:val="Normal"/>
        <w:rPr>
          <w:sz w:val="22"/>
        </w:rPr>
      </w:pPr>
      <w:r>
        <w:rPr>
          <w:sz w:val="22"/>
        </w:rPr>
      </w:r>
    </w:p>
    <w:p>
      <w:pPr>
        <w:pStyle w:val="Normal"/>
        <w:rPr>
          <w:sz w:val="22"/>
        </w:rPr>
      </w:pPr>
      <w:r>
        <w:rPr>
          <w:sz w:val="22"/>
        </w:rPr>
      </w:r>
    </w:p>
    <w:p>
      <w:pPr>
        <w:pStyle w:val="Heading1"/>
        <w:ind w:hanging="0" w:start="0"/>
        <w:rPr>
          <w:sz w:val="24"/>
        </w:rPr>
      </w:pPr>
      <w:r>
        <w:rPr>
          <w:sz w:val="24"/>
        </w:rPr>
        <w:t>Agent’s Options</w:t>
      </w:r>
    </w:p>
    <w:p>
      <w:pPr>
        <w:pStyle w:val="Normal"/>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Project Purchase Option:</w:t>
            </w:r>
          </w:p>
        </w:tc>
        <w:tc>
          <w:tcPr>
            <w:tcW w:w="5760" w:type="dxa"/>
            <w:tcBorders/>
          </w:tcPr>
          <w:p>
            <w:pPr>
              <w:pStyle w:val="Normal"/>
              <w:jc w:val="both"/>
              <w:rPr>
                <w:sz w:val="22"/>
              </w:rPr>
            </w:pPr>
            <w:r>
              <w:rPr>
                <w:sz w:val="22"/>
              </w:rPr>
              <w:t>At any time during the Term of the CAA (i) Owner will grant to Agent the option to purchase all of its right, title and interest in the Project by purchasing the Property for a price equal to the Termination Amount, (ii) [Accommodation Party] shall grant to the Agent the option to purchase all of its right, title and interest in its ownership interests in Developer Parent for a price equal to the Termination Amount, and (iii) Developer Parent shall grant to the Agent the option to purchase all of its right, title and interest in its ownership interests in Developer for a price equal to the Termination Amount.  Any such payment will be assigned by Owner to Lender to repay the loans under the Loan Agreement .</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Facility Purchase Option:</w:t>
            </w:r>
          </w:p>
        </w:tc>
        <w:tc>
          <w:tcPr>
            <w:tcW w:w="5760" w:type="dxa"/>
            <w:tcBorders/>
          </w:tcPr>
          <w:p>
            <w:pPr>
              <w:pStyle w:val="Normal"/>
              <w:jc w:val="both"/>
              <w:rPr>
                <w:sz w:val="22"/>
              </w:rPr>
            </w:pPr>
            <w:r>
              <w:rPr>
                <w:sz w:val="22"/>
              </w:rPr>
              <w:t>At any time during the Term of the CAA, Owner will grant to Agent the option to purchase all of its right, title and interest in a single Facility within the Project by purchasing the Facility (or a Facility SPV) for a price equal to the pro rata Termination Amount corresponding to such Facility.  Any such payment will be assigned by Owner to Lender to repay the loans under the Loan Agreement.</w:t>
            </w:r>
          </w:p>
          <w:p>
            <w:pPr>
              <w:pStyle w:val="Normal"/>
              <w:jc w:val="both"/>
              <w:rPr>
                <w:sz w:val="22"/>
              </w:rPr>
            </w:pPr>
            <w:r>
              <w:rPr>
                <w:sz w:val="22"/>
              </w:rPr>
            </w:r>
          </w:p>
          <w:p>
            <w:pPr>
              <w:pStyle w:val="Normal"/>
              <w:jc w:val="both"/>
              <w:rPr>
                <w:sz w:val="22"/>
              </w:rPr>
            </w:pPr>
            <w:r>
              <w:rPr>
                <w:sz w:val="22"/>
              </w:rPr>
              <w:t>If Agent exercises the Facility Purchase Option, then unless Agent thereafter exercises the Project Purchase Option or the Project Lease Option no later than sixty (60) days prior to the Termination Date, Agent must either (i) replace the Facility purchased under the Facility Purchase Option with one or more Facilities such that the Project has an aggregate minimum net electrical output of 1,163 MW by the Termination Date, by adding the replacement Facility to the Project and subjecting it to the Transaction Agreements; or (ii) certify that the exercise of any such Facility Purchase Option had not increased or diminished the objectively determinable cost or value per megawatt respectively of the Facilities remaining in the Project in comparison to such overall cost or value per megawatt parameters had all the Facilities remained in the Project. Failure to do either (i) or (ii) above shall be an Owner's Termination Event, curable by Agent's exercise of the Project Purchase Option, as set forth above.</w:t>
            </w:r>
          </w:p>
          <w:p>
            <w:pPr>
              <w:pStyle w:val="Normal"/>
              <w:jc w:val="both"/>
              <w:rPr>
                <w:sz w:val="22"/>
              </w:rPr>
            </w:pPr>
            <w:r>
              <w:rPr>
                <w:sz w:val="22"/>
              </w:rPr>
            </w:r>
          </w:p>
          <w:p>
            <w:pPr>
              <w:pStyle w:val="Normal"/>
              <w:jc w:val="both"/>
              <w:rPr>
                <w:sz w:val="22"/>
              </w:rPr>
            </w:pPr>
            <w:r>
              <w:rPr>
                <w:sz w:val="22"/>
              </w:rPr>
              <w:t>Agent's exercise of the Facility Purchase Option does not reduce Agent's obligations to complete the entire Project.</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Common Terms for Both Purchase Options:</w:t>
            </w:r>
          </w:p>
        </w:tc>
        <w:tc>
          <w:tcPr>
            <w:tcW w:w="5760" w:type="dxa"/>
            <w:tcBorders/>
          </w:tcPr>
          <w:p>
            <w:pPr>
              <w:pStyle w:val="Normal"/>
              <w:jc w:val="both"/>
              <w:rPr>
                <w:sz w:val="22"/>
              </w:rPr>
            </w:pPr>
            <w:r>
              <w:rPr>
                <w:sz w:val="22"/>
              </w:rPr>
              <w:t>Agent may assign the rights of the Project and Facility Purchase Options, but not the obligations, to a Designee.</w:t>
            </w:r>
          </w:p>
          <w:p>
            <w:pPr>
              <w:pStyle w:val="Normal"/>
              <w:jc w:val="both"/>
              <w:rPr>
                <w:sz w:val="22"/>
              </w:rPr>
            </w:pPr>
            <w:r>
              <w:rPr>
                <w:sz w:val="22"/>
              </w:rPr>
            </w:r>
          </w:p>
          <w:p>
            <w:pPr>
              <w:pStyle w:val="Normal"/>
              <w:jc w:val="both"/>
              <w:rPr>
                <w:sz w:val="22"/>
              </w:rPr>
            </w:pPr>
            <w:r>
              <w:rPr>
                <w:sz w:val="22"/>
              </w:rPr>
              <w:t>In addition, upon the exercise of the Project or Facility Purchase Option (but not sooner) Agent will assume and indemnify Owner from any and all liabilities and claims arising from or with respect to the Project (including those occurring as the result of past actions or circumstances).</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Project and Facility Lease Options:</w:t>
            </w:r>
          </w:p>
        </w:tc>
        <w:tc>
          <w:tcPr>
            <w:tcW w:w="5760" w:type="dxa"/>
            <w:tcBorders/>
          </w:tcPr>
          <w:p>
            <w:pPr>
              <w:pStyle w:val="Heading2"/>
              <w:ind w:hanging="0" w:start="0"/>
              <w:rPr/>
            </w:pPr>
            <w:r>
              <w:rPr>
                <w:i w:val="false"/>
              </w:rPr>
              <w:t>Owner will grant to Agent the option to lease (the “</w:t>
            </w:r>
            <w:r>
              <w:rPr>
                <w:i w:val="false"/>
                <w:u w:val="single"/>
              </w:rPr>
              <w:t>Lease Option</w:t>
            </w:r>
            <w:r>
              <w:rPr>
                <w:i w:val="false"/>
              </w:rPr>
              <w:t>”) one or more Facilities in the Project.  The exercise of the Lease Option with respect to a single Facility will be referred to as the "Facility Lease Option", and the exercise of the Lease Option for all Facilities in the Project will be referred to as the "Project Lease Option".  The Lease Option will provide for operating lease classification and will contain the principal provisions to which Owner will commit, including the following:</w:t>
            </w:r>
          </w:p>
          <w:p>
            <w:pPr>
              <w:pStyle w:val="Heading2"/>
              <w:ind w:hanging="0" w:start="0"/>
              <w:rPr>
                <w:i w:val="false"/>
                <w:i w:val="false"/>
              </w:rPr>
            </w:pPr>
            <w:r>
              <w:rPr>
                <w:i w:val="false"/>
              </w:rPr>
            </w:r>
          </w:p>
          <w:p>
            <w:pPr>
              <w:pStyle w:val="Heading2"/>
              <w:ind w:hanging="0" w:start="720" w:end="0"/>
              <w:rPr>
                <w:i w:val="false"/>
                <w:i w:val="false"/>
              </w:rPr>
            </w:pPr>
            <w:r>
              <w:rPr>
                <w:i w:val="false"/>
              </w:rPr>
              <w:t>(i)</w:t>
              <w:tab/>
              <w:t>A term of five years, or up to 75% of the Project(s)' useful life, whichever is less;</w:t>
            </w:r>
          </w:p>
          <w:p>
            <w:pPr>
              <w:pStyle w:val="Normal"/>
              <w:jc w:val="both"/>
              <w:rPr>
                <w:i/>
                <w:i/>
              </w:rPr>
            </w:pPr>
            <w:r>
              <w:rPr>
                <w:i/>
              </w:rPr>
            </w:r>
          </w:p>
          <w:p>
            <w:pPr>
              <w:pStyle w:val="Heading2"/>
              <w:ind w:hanging="0" w:start="720" w:end="0"/>
              <w:rPr/>
            </w:pPr>
            <w:r>
              <w:rPr>
                <w:i w:val="false"/>
              </w:rPr>
              <w:t>(ii)</w:t>
              <w:tab/>
              <w:t xml:space="preserve">Lease payments calculated by specific formula including as variables (a) the Funded Budget Amount </w:t>
            </w:r>
            <w:r>
              <w:rPr>
                <w:i w:val="false"/>
                <w:u w:val="single"/>
              </w:rPr>
              <w:t>plus</w:t>
            </w:r>
            <w:r>
              <w:rPr>
                <w:i w:val="false"/>
              </w:rPr>
              <w:t xml:space="preserve"> Funded Non-Budget Amounts (pro rata as incurred in respect to the particular Facility, as applicable), (b) an applicable interest rate based on a widely-traded, objectively determined, senior unsecured reference debt obligation (the “</w:t>
            </w:r>
            <w:r>
              <w:rPr>
                <w:i w:val="false"/>
                <w:u w:val="single"/>
              </w:rPr>
              <w:t>Reference Obligation</w:t>
            </w:r>
            <w:r>
              <w:rPr>
                <w:i w:val="false"/>
              </w:rPr>
              <w:t>”) of the Guarantor, and (c) a fixed spread equal to [  ]% and a facility fee of [  ]% p.a.;</w:t>
            </w:r>
          </w:p>
          <w:p>
            <w:pPr>
              <w:pStyle w:val="Normal"/>
              <w:jc w:val="both"/>
              <w:rPr>
                <w:i/>
                <w:i/>
              </w:rPr>
            </w:pPr>
            <w:r>
              <w:rPr>
                <w:i/>
              </w:rPr>
            </w:r>
          </w:p>
          <w:p>
            <w:pPr>
              <w:pStyle w:val="Heading2"/>
              <w:ind w:hanging="0" w:start="720" w:end="0"/>
              <w:rPr>
                <w:i w:val="false"/>
                <w:i w:val="false"/>
              </w:rPr>
            </w:pPr>
            <w:r>
              <w:rPr>
                <w:i w:val="false"/>
              </w:rPr>
              <w:t>(iii)</w:t>
              <w:tab/>
              <w:t>Residual guarantee amount consistent with FAS13 operating lease classification;</w:t>
            </w:r>
          </w:p>
          <w:p>
            <w:pPr>
              <w:pStyle w:val="Normal"/>
              <w:jc w:val="both"/>
              <w:rPr>
                <w:i/>
                <w:i/>
              </w:rPr>
            </w:pPr>
            <w:r>
              <w:rPr>
                <w:i/>
              </w:rPr>
            </w:r>
          </w:p>
          <w:p>
            <w:pPr>
              <w:pStyle w:val="Heading2"/>
              <w:ind w:hanging="0" w:start="720" w:end="0"/>
              <w:rPr/>
            </w:pPr>
            <w:r>
              <w:rPr>
                <w:i w:val="false"/>
              </w:rPr>
              <w:t>(iv)</w:t>
              <w:tab/>
              <w:t>Renewal options</w:t>
            </w:r>
            <w:r>
              <w:rPr>
                <w:b/>
                <w:i w:val="false"/>
              </w:rPr>
              <w:t xml:space="preserve">, </w:t>
            </w:r>
            <w:r>
              <w:rPr>
                <w:i w:val="false"/>
              </w:rPr>
              <w:t>if mutually agreed, which are consistent with FAS 13 lease classification;</w:t>
            </w:r>
          </w:p>
          <w:p>
            <w:pPr>
              <w:pStyle w:val="Normal"/>
              <w:jc w:val="both"/>
              <w:rPr>
                <w:i/>
                <w:i/>
              </w:rPr>
            </w:pPr>
            <w:r>
              <w:rPr>
                <w:i/>
              </w:rPr>
            </w:r>
          </w:p>
          <w:p>
            <w:pPr>
              <w:pStyle w:val="Heading2"/>
              <w:ind w:hanging="0" w:start="720" w:end="0"/>
              <w:rPr>
                <w:i w:val="false"/>
                <w:i w:val="false"/>
              </w:rPr>
            </w:pPr>
            <w:r>
              <w:rPr>
                <w:i w:val="false"/>
              </w:rPr>
              <w:t>(v)</w:t>
              <w:tab/>
              <w:t>Excess residual value reverting to Agent;</w:t>
            </w:r>
          </w:p>
          <w:p>
            <w:pPr>
              <w:pStyle w:val="Normal"/>
              <w:jc w:val="both"/>
              <w:rPr>
                <w:i/>
                <w:i/>
              </w:rPr>
            </w:pPr>
            <w:r>
              <w:rPr>
                <w:i/>
              </w:rPr>
            </w:r>
          </w:p>
          <w:p>
            <w:pPr>
              <w:pStyle w:val="Heading2"/>
              <w:ind w:hanging="0" w:start="720" w:end="0"/>
              <w:rPr>
                <w:i w:val="false"/>
                <w:i w:val="false"/>
              </w:rPr>
            </w:pPr>
            <w:r>
              <w:rPr>
                <w:i w:val="false"/>
              </w:rPr>
              <w:t>(vi)</w:t>
              <w:tab/>
              <w:t>Incremental borrowing rate equal to the Reference Obligation rate;</w:t>
            </w:r>
          </w:p>
          <w:p>
            <w:pPr>
              <w:pStyle w:val="Normal"/>
              <w:jc w:val="both"/>
              <w:rPr>
                <w:i/>
                <w:i/>
              </w:rPr>
            </w:pPr>
            <w:r>
              <w:rPr>
                <w:i/>
              </w:rPr>
            </w:r>
          </w:p>
          <w:p>
            <w:pPr>
              <w:pStyle w:val="Heading2"/>
              <w:ind w:hanging="0" w:start="720" w:end="0"/>
              <w:rPr>
                <w:i w:val="false"/>
                <w:i w:val="false"/>
              </w:rPr>
            </w:pPr>
            <w:r>
              <w:rPr>
                <w:i w:val="false"/>
              </w:rPr>
              <w:t>(vii)</w:t>
              <w:tab/>
              <w:t>A specified fee or fees paid to  lessor to be determined in the final documentation</w:t>
            </w:r>
            <w:r>
              <w:rPr>
                <w:b/>
                <w:i w:val="false"/>
                <w:u w:val="double"/>
              </w:rPr>
              <w:t>.</w:t>
            </w:r>
          </w:p>
          <w:p>
            <w:pPr>
              <w:pStyle w:val="Normal"/>
              <w:jc w:val="both"/>
              <w:rPr>
                <w:i/>
                <w:i/>
              </w:rPr>
            </w:pPr>
            <w:r>
              <w:rPr>
                <w:i/>
              </w:rPr>
            </w:r>
          </w:p>
          <w:p>
            <w:pPr>
              <w:pStyle w:val="Normal"/>
              <w:jc w:val="both"/>
              <w:rPr>
                <w:sz w:val="22"/>
              </w:rPr>
            </w:pPr>
            <w:r>
              <w:rPr>
                <w:sz w:val="22"/>
              </w:rPr>
              <w:t>If Agent exercises the Facility Lease Option, then unless Agent exercises the Project Purchase Option or the Project Lease Option no later than sixty (60) days prior to the Termination Date, Agent must either (i) return such leased Facility to Owner in accordance with any return conditions specified in the lease documentation; or (ii) certify that the exercise of any such Facility Lease Option had not increased or diminished the objectively determinable cost or value per megawatt respectively of the Facilities remaining in the Project in comparison to such overall cost or value per megawatt parameters had all the Facilities remained in the Project.  Failure to do either (i) or (ii) above shall be an Owner's Termination Event, curable by Agent's exercise of the Project Purchase Option, as set forth above.</w:t>
            </w:r>
          </w:p>
        </w:tc>
      </w:tr>
    </w:tbl>
    <w:p>
      <w:pPr>
        <w:pStyle w:val="Normal"/>
        <w:rPr>
          <w:sz w:val="22"/>
        </w:rPr>
      </w:pPr>
      <w:r>
        <w:rPr>
          <w:sz w:val="22"/>
        </w:rPr>
      </w:r>
    </w:p>
    <w:p>
      <w:pPr>
        <w:pStyle w:val="Normal"/>
        <w:rPr>
          <w:sz w:val="22"/>
        </w:rPr>
      </w:pPr>
      <w:r>
        <w:rPr>
          <w:sz w:val="22"/>
        </w:rPr>
      </w:r>
    </w:p>
    <w:p>
      <w:pPr>
        <w:pStyle w:val="Heading1"/>
        <w:ind w:hanging="0" w:start="0"/>
        <w:rPr>
          <w:sz w:val="24"/>
        </w:rPr>
      </w:pPr>
      <w:r>
        <w:rPr>
          <w:sz w:val="24"/>
        </w:rPr>
        <w:t>Owner’s Remarketing Option</w:t>
      </w:r>
    </w:p>
    <w:p>
      <w:pPr>
        <w:pStyle w:val="Normal"/>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Owner’s Remarketing Option</w:t>
            </w:r>
          </w:p>
        </w:tc>
        <w:tc>
          <w:tcPr>
            <w:tcW w:w="5760" w:type="dxa"/>
            <w:tcBorders/>
          </w:tcPr>
          <w:p>
            <w:pPr>
              <w:pStyle w:val="Normal"/>
              <w:jc w:val="both"/>
              <w:rPr/>
            </w:pPr>
            <w:r>
              <w:rPr>
                <w:sz w:val="22"/>
              </w:rPr>
              <w:t>In the event that Agent has not exercised either the Project Purchase Option or the Project Lease Option under the CAA by sixty (60) days before the Termination Date or exercised the Project Purchase Option within thirty (30) days after delivery of an Owner Termination Notice, Owner may (at Owner’s sole discretion) exercise a remarketing option (the “</w:t>
            </w:r>
            <w:r>
              <w:rPr>
                <w:sz w:val="22"/>
                <w:u w:val="single"/>
              </w:rPr>
              <w:t>Owner’s Remarketing Option</w:t>
            </w:r>
            <w:r>
              <w:rPr>
                <w:sz w:val="22"/>
              </w:rPr>
              <w:t>”) under such CAA whereby:</w:t>
            </w:r>
          </w:p>
          <w:p>
            <w:pPr>
              <w:pStyle w:val="Normal"/>
              <w:jc w:val="both"/>
              <w:rPr>
                <w:sz w:val="22"/>
              </w:rPr>
            </w:pPr>
            <w:r>
              <w:rPr>
                <w:sz w:val="22"/>
              </w:rPr>
            </w:r>
          </w:p>
          <w:p>
            <w:pPr>
              <w:pStyle w:val="Normal"/>
              <w:ind w:start="720" w:end="0"/>
              <w:jc w:val="both"/>
              <w:rPr>
                <w:sz w:val="22"/>
              </w:rPr>
            </w:pPr>
            <w:r>
              <w:rPr>
                <w:sz w:val="22"/>
              </w:rPr>
              <w:t>(i)</w:t>
              <w:tab/>
              <w:t>Agent will perform the actions necessary to market the completed Property (subject to reimbursement pursuant to the Budget regardless of whether Agent is successful in marketing the Property);</w:t>
            </w:r>
          </w:p>
          <w:p>
            <w:pPr>
              <w:pStyle w:val="Normal"/>
              <w:tabs>
                <w:tab w:val="left" w:pos="720" w:leader="none"/>
              </w:tabs>
              <w:jc w:val="both"/>
              <w:rPr>
                <w:sz w:val="22"/>
              </w:rPr>
            </w:pPr>
            <w:r>
              <w:rPr>
                <w:sz w:val="22"/>
              </w:rPr>
            </w:r>
          </w:p>
          <w:p>
            <w:pPr>
              <w:pStyle w:val="Normal"/>
              <w:ind w:start="720" w:end="0"/>
              <w:jc w:val="both"/>
              <w:rPr/>
            </w:pPr>
            <w:r>
              <w:rPr>
                <w:sz w:val="22"/>
              </w:rPr>
              <w:t>(ii)</w:t>
              <w:tab/>
              <w:t>In addition, Agent will seek to sell the Property for a price (net of costs and expenses of sales) at least equal to the sum of (a) the actual Funded Budget Amount, plus (b) the Funded Non-Budget Amount (such price, the “</w:t>
            </w:r>
            <w:r>
              <w:rPr>
                <w:sz w:val="22"/>
                <w:u w:val="single"/>
              </w:rPr>
              <w:t>Minimum Sales Price</w:t>
            </w:r>
            <w:r>
              <w:rPr>
                <w:sz w:val="22"/>
              </w:rPr>
              <w:t>”).  To the extent that Agent fails, despite a good faith effort, to achieve the Minimum Sales Price (i.e. the actual sales price is less than the Minimum Sales Price) Agent will reimburse Owner for the difference but only up to an amount equal to 89.9% of the Funded Budget Amount (as adjusted by any reimbursement amounts due to Agent by Owner under the Budget which had been incurred by Agent but not yet paid) (the “</w:t>
            </w:r>
            <w:r>
              <w:rPr>
                <w:sz w:val="22"/>
                <w:u w:val="single"/>
              </w:rPr>
              <w:t>Agent Maximum Recourse Amount</w:t>
            </w:r>
            <w:r>
              <w:rPr>
                <w:sz w:val="22"/>
              </w:rPr>
              <w:t>”); and</w:t>
            </w:r>
          </w:p>
          <w:p>
            <w:pPr>
              <w:pStyle w:val="Normal"/>
              <w:tabs>
                <w:tab w:val="left" w:pos="720" w:leader="none"/>
              </w:tabs>
              <w:jc w:val="both"/>
              <w:rPr>
                <w:sz w:val="22"/>
              </w:rPr>
            </w:pPr>
            <w:r>
              <w:rPr>
                <w:sz w:val="22"/>
              </w:rPr>
            </w:r>
          </w:p>
          <w:p>
            <w:pPr>
              <w:pStyle w:val="Normal"/>
              <w:ind w:start="720" w:end="0"/>
              <w:jc w:val="both"/>
              <w:rPr>
                <w:sz w:val="22"/>
              </w:rPr>
            </w:pPr>
            <w:r>
              <w:rPr>
                <w:sz w:val="22"/>
              </w:rPr>
              <w:t>(iii)</w:t>
              <w:tab/>
              <w:t>If the Owner's Remarketing Option is exercised prior to completion of the Property, Owner will receive any net sales proceeds over the Minimum Sales Price, which proceeds shall be assigned to Lender under the Security and Assignment Agreement as additional loan fees.  After completion of the Property, Agent will receive any net sales proceeds over the Minimum Sales Price, in consideration of Agent’s actions under the Remarketing Option.</w:t>
            </w:r>
          </w:p>
          <w:p>
            <w:pPr>
              <w:pStyle w:val="Normal"/>
              <w:jc w:val="both"/>
              <w:rPr>
                <w:sz w:val="22"/>
              </w:rPr>
            </w:pPr>
            <w:r>
              <w:rPr>
                <w:sz w:val="22"/>
              </w:rPr>
            </w:r>
          </w:p>
        </w:tc>
      </w:tr>
    </w:tbl>
    <w:p>
      <w:pPr>
        <w:pStyle w:val="Normal"/>
        <w:rPr>
          <w:sz w:val="22"/>
        </w:rPr>
      </w:pPr>
      <w:r>
        <w:rPr>
          <w:sz w:val="22"/>
        </w:rPr>
      </w:r>
    </w:p>
    <w:p>
      <w:pPr>
        <w:pStyle w:val="Normal"/>
        <w:rPr>
          <w:sz w:val="22"/>
        </w:rPr>
      </w:pPr>
      <w:r>
        <w:rPr>
          <w:sz w:val="22"/>
        </w:rPr>
      </w:r>
    </w:p>
    <w:p>
      <w:pPr>
        <w:pStyle w:val="Heading1"/>
        <w:ind w:hanging="0" w:start="0"/>
        <w:rPr>
          <w:sz w:val="24"/>
        </w:rPr>
      </w:pPr>
      <w:r>
        <w:rPr>
          <w:sz w:val="24"/>
        </w:rPr>
        <w:t>Indemnity</w:t>
      </w:r>
    </w:p>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General Indemnity:</w:t>
            </w:r>
          </w:p>
        </w:tc>
        <w:tc>
          <w:tcPr>
            <w:tcW w:w="5760" w:type="dxa"/>
            <w:tcBorders/>
          </w:tcPr>
          <w:p>
            <w:pPr>
              <w:pStyle w:val="Normal"/>
              <w:jc w:val="both"/>
              <w:rPr>
                <w:sz w:val="22"/>
              </w:rPr>
            </w:pPr>
            <w:r>
              <w:rPr>
                <w:sz w:val="22"/>
              </w:rPr>
              <w:t>Standard and customary indemnifications for a Transaction of this type, which will comply with EITF 97-10.</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General Tax Indemnity:</w:t>
            </w:r>
          </w:p>
        </w:tc>
        <w:tc>
          <w:tcPr>
            <w:tcW w:w="5760" w:type="dxa"/>
            <w:tcBorders/>
          </w:tcPr>
          <w:p>
            <w:pPr>
              <w:pStyle w:val="Normal"/>
              <w:jc w:val="both"/>
              <w:rPr>
                <w:sz w:val="22"/>
              </w:rPr>
            </w:pPr>
            <w:r>
              <w:rPr>
                <w:sz w:val="22"/>
              </w:rPr>
              <w:t>Standard and customary tax indemnifications for a Transaction of this type, which will comply with EITF 97-10.</w:t>
            </w:r>
          </w:p>
        </w:tc>
      </w:tr>
    </w:tbl>
    <w:p>
      <w:pPr>
        <w:pStyle w:val="Normal"/>
        <w:rPr>
          <w:sz w:val="22"/>
        </w:rPr>
      </w:pPr>
      <w:r>
        <w:rPr>
          <w:sz w:val="22"/>
        </w:rPr>
      </w:r>
    </w:p>
    <w:p>
      <w:pPr>
        <w:pStyle w:val="Normal"/>
        <w:rPr>
          <w:sz w:val="22"/>
        </w:rPr>
      </w:pPr>
      <w:r>
        <w:rPr>
          <w:sz w:val="22"/>
        </w:rPr>
      </w:r>
    </w:p>
    <w:p>
      <w:pPr>
        <w:pStyle w:val="Heading1"/>
        <w:ind w:hanging="0" w:start="0"/>
        <w:rPr>
          <w:sz w:val="24"/>
        </w:rPr>
      </w:pPr>
      <w:r>
        <w:rPr>
          <w:sz w:val="24"/>
        </w:rPr>
        <w:t>Miscellaneous</w:t>
      </w:r>
    </w:p>
    <w:p>
      <w:pPr>
        <w:pStyle w:val="Normal"/>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2880"/>
        <w:gridCol w:w="5760"/>
      </w:tblGrid>
      <w:tr>
        <w:trPr/>
        <w:tc>
          <w:tcPr>
            <w:tcW w:w="2880" w:type="dxa"/>
            <w:tcBorders/>
          </w:tcPr>
          <w:p>
            <w:pPr>
              <w:pStyle w:val="Normal"/>
              <w:rPr>
                <w:b/>
                <w:sz w:val="22"/>
              </w:rPr>
            </w:pPr>
            <w:r>
              <w:rPr>
                <w:b/>
                <w:sz w:val="22"/>
              </w:rPr>
              <w:t>Intent:</w:t>
            </w:r>
          </w:p>
        </w:tc>
        <w:tc>
          <w:tcPr>
            <w:tcW w:w="5760" w:type="dxa"/>
            <w:tcBorders/>
          </w:tcPr>
          <w:p>
            <w:pPr>
              <w:pStyle w:val="Normal"/>
              <w:jc w:val="both"/>
              <w:rPr>
                <w:sz w:val="22"/>
              </w:rPr>
            </w:pPr>
            <w:r>
              <w:rPr>
                <w:sz w:val="22"/>
              </w:rPr>
              <w:t>The Transaction Agreements will state that Agent, Owner and WestLB intend that (a) for financial reporting purposes (i) the Transaction will be treated as an “operating lease” pursuant to US GAAP SFAS No. 13, (ii) Owner will be treated as owner and the lessor of the Project and (iii) Agent will be treated as lessee of the Project and (b) for the purposes of federal tax and state law and applicable bank regulation, Agent, Owner and WestLB intend to treat the Transaction as a financing transaction granting a lien and security interest in the Project.</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Collateral:</w:t>
            </w:r>
          </w:p>
        </w:tc>
        <w:tc>
          <w:tcPr>
            <w:tcW w:w="5760" w:type="dxa"/>
            <w:tcBorders/>
          </w:tcPr>
          <w:p>
            <w:pPr>
              <w:pStyle w:val="Normal"/>
              <w:jc w:val="both"/>
              <w:rPr>
                <w:sz w:val="22"/>
              </w:rPr>
            </w:pPr>
            <w:r>
              <w:rPr>
                <w:sz w:val="22"/>
              </w:rPr>
              <w:t>Agent will provide Owner with such security arrangement on the Project as are described above.</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Transaction Expenses:</w:t>
            </w:r>
          </w:p>
        </w:tc>
        <w:tc>
          <w:tcPr>
            <w:tcW w:w="5760" w:type="dxa"/>
            <w:tcBorders/>
          </w:tcPr>
          <w:p>
            <w:pPr>
              <w:pStyle w:val="Normal"/>
              <w:jc w:val="both"/>
              <w:rPr/>
            </w:pPr>
            <w:r>
              <w:rPr>
                <w:sz w:val="22"/>
              </w:rPr>
              <w:t>Expenses of Lender’s legal counsel and all other out-of-pocket expenses of the Lender relating to the closing and management of the Transaction will be financed as part of Total Project Costs (the “</w:t>
            </w:r>
            <w:r>
              <w:rPr>
                <w:sz w:val="22"/>
                <w:u w:val="single"/>
              </w:rPr>
              <w:t>Transaction Expenses</w:t>
            </w:r>
            <w:r>
              <w:rPr>
                <w:sz w:val="22"/>
              </w:rPr>
              <w:t>”).</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Governing Law:</w:t>
            </w:r>
          </w:p>
        </w:tc>
        <w:tc>
          <w:tcPr>
            <w:tcW w:w="5760" w:type="dxa"/>
            <w:tcBorders/>
          </w:tcPr>
          <w:p>
            <w:pPr>
              <w:pStyle w:val="Normal"/>
              <w:jc w:val="both"/>
              <w:rPr>
                <w:sz w:val="22"/>
              </w:rPr>
            </w:pPr>
            <w:r>
              <w:rPr>
                <w:sz w:val="22"/>
              </w:rPr>
              <w:t>State of New York, USA.</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Waiver of Jury Trial:</w:t>
            </w:r>
          </w:p>
        </w:tc>
        <w:tc>
          <w:tcPr>
            <w:tcW w:w="5760" w:type="dxa"/>
            <w:tcBorders/>
          </w:tcPr>
          <w:p>
            <w:pPr>
              <w:pStyle w:val="Normal"/>
              <w:jc w:val="both"/>
              <w:rPr>
                <w:b/>
                <w:sz w:val="22"/>
              </w:rPr>
            </w:pPr>
            <w:r>
              <w:rPr>
                <w:b/>
                <w:sz w:val="22"/>
              </w:rPr>
              <w:t>[Subject to further discussion]</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Documentation:</w:t>
            </w:r>
          </w:p>
        </w:tc>
        <w:tc>
          <w:tcPr>
            <w:tcW w:w="5760" w:type="dxa"/>
            <w:tcBorders/>
          </w:tcPr>
          <w:p>
            <w:pPr>
              <w:pStyle w:val="Normal"/>
              <w:jc w:val="both"/>
              <w:rPr>
                <w:sz w:val="22"/>
              </w:rPr>
            </w:pPr>
            <w:r>
              <w:rPr>
                <w:sz w:val="22"/>
              </w:rPr>
              <w:t>The Transaction Agreements will be prepared by WestLB’s counsel, Winston &amp; Strawn.</w:t>
            </w:r>
          </w:p>
        </w:tc>
      </w:tr>
      <w:tr>
        <w:trPr/>
        <w:tc>
          <w:tcPr>
            <w:tcW w:w="2880" w:type="dxa"/>
            <w:tcBorders/>
          </w:tcPr>
          <w:p>
            <w:pPr>
              <w:pStyle w:val="Normal"/>
              <w:snapToGrid w:val="false"/>
              <w:rPr>
                <w:b/>
                <w:sz w:val="22"/>
              </w:rPr>
            </w:pPr>
            <w:r>
              <w:rPr>
                <w:b/>
                <w:sz w:val="22"/>
              </w:rPr>
            </w:r>
          </w:p>
        </w:tc>
        <w:tc>
          <w:tcPr>
            <w:tcW w:w="5760" w:type="dxa"/>
            <w:tcBorders/>
          </w:tcPr>
          <w:p>
            <w:pPr>
              <w:pStyle w:val="Normal"/>
              <w:snapToGrid w:val="false"/>
              <w:jc w:val="both"/>
              <w:rPr>
                <w:b/>
                <w:sz w:val="22"/>
              </w:rPr>
            </w:pPr>
            <w:r>
              <w:rPr>
                <w:b/>
                <w:sz w:val="22"/>
              </w:rPr>
            </w:r>
          </w:p>
        </w:tc>
      </w:tr>
      <w:tr>
        <w:trPr/>
        <w:tc>
          <w:tcPr>
            <w:tcW w:w="2880" w:type="dxa"/>
            <w:tcBorders/>
          </w:tcPr>
          <w:p>
            <w:pPr>
              <w:pStyle w:val="Normal"/>
              <w:rPr>
                <w:b/>
                <w:sz w:val="22"/>
              </w:rPr>
            </w:pPr>
            <w:r>
              <w:rPr>
                <w:b/>
                <w:sz w:val="22"/>
              </w:rPr>
              <w:t>Disclaimer:</w:t>
            </w:r>
          </w:p>
        </w:tc>
        <w:tc>
          <w:tcPr>
            <w:tcW w:w="5760" w:type="dxa"/>
            <w:tcBorders/>
          </w:tcPr>
          <w:p>
            <w:pPr>
              <w:pStyle w:val="Normal"/>
              <w:jc w:val="both"/>
              <w:rPr>
                <w:sz w:val="22"/>
              </w:rPr>
            </w:pPr>
            <w:r>
              <w:rPr>
                <w:sz w:val="22"/>
              </w:rPr>
              <w:t>This Preliminary Summary of Terms and Conditions does not represent any commitment to Enron, Agent or any of their affiliates or agreement by WestLB or any of its affiliates to provide financing on the terms contained herein or to perform any undertaking whatsoever. Any commitment or agreement by WestLB or any of their affiliates can only be offered after the completion of full credit, investment, and legal review.</w:t>
            </w:r>
          </w:p>
        </w:tc>
      </w:tr>
    </w:tbl>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drawing>
        <wp:anchor behindDoc="1" distT="0" distB="0" distL="114935" distR="114935" simplePos="0" locked="0" layoutInCell="1" allowOverlap="1" relativeHeight="20">
          <wp:simplePos x="0" y="0"/>
          <wp:positionH relativeFrom="column">
            <wp:posOffset>4069080</wp:posOffset>
          </wp:positionH>
          <wp:positionV relativeFrom="paragraph">
            <wp:posOffset>-4445</wp:posOffset>
          </wp:positionV>
          <wp:extent cx="1357630" cy="39878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4" t="-79" r="-24" b="-79"/>
                  <a:stretch>
                    <a:fillRect/>
                  </a:stretch>
                </pic:blipFill>
                <pic:spPr bwMode="auto">
                  <a:xfrm>
                    <a:off x="0" y="0"/>
                    <a:ext cx="1357630" cy="398780"/>
                  </a:xfrm>
                  <a:prstGeom prst="rect">
                    <a:avLst/>
                  </a:prstGeom>
                  <a:noFill/>
                </pic:spPr>
              </pic:pic>
            </a:graphicData>
          </a:graphic>
        </wp:anchor>
      </w:drawing>
    </w:r>
    <w:r>
      <w:rPr>
        <w:b/>
        <w:i/>
      </w:rPr>
      <w:t>- Confidential -</w:t>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rPr/>
    </w:pPr>
    <w:r>
      <w:rPr>
        <w:b/>
        <w:i/>
        <w:sz w:val="16"/>
      </w:rPr>
      <w:softHyphen/>
      <w:t>776536.2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i/>
      </w:rPr>
      <w:t xml:space="preserve">- Final 13 Oct. 2000-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jc w:val="both"/>
      <w:outlineLvl w:val="1"/>
    </w:pPr>
    <w:rPr>
      <w:i/>
      <w:sz w:val="22"/>
    </w:rPr>
  </w:style>
  <w:style w:type="paragraph" w:styleId="Heading3">
    <w:name w:val="heading 3"/>
    <w:basedOn w:val="Normal"/>
    <w:next w:val="Normal"/>
    <w:qFormat/>
    <w:pPr>
      <w:keepNext w:val="true"/>
      <w:numPr>
        <w:ilvl w:val="2"/>
        <w:numId w:val="1"/>
      </w:numPr>
      <w:jc w:val="center"/>
      <w:outlineLvl w:val="2"/>
    </w:pPr>
    <w:rPr>
      <w:b/>
      <w:i/>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sz w:val="22"/>
    </w:rPr>
  </w:style>
  <w:style w:type="character" w:styleId="WW8Num12z0">
    <w:name w:val="WW8Num12z0"/>
    <w:qFormat/>
    <w:rPr>
      <w:rFonts w:ascii="Arial" w:hAnsi="Arial" w:cs="Arial"/>
      <w:sz w:val="22"/>
    </w:rPr>
  </w:style>
  <w:style w:type="character" w:styleId="WW8Num13z0">
    <w:name w:val="WW8Num13z0"/>
    <w:qFormat/>
    <w:rPr>
      <w:rFonts w:ascii="Arial" w:hAnsi="Arial" w:cs="Arial"/>
      <w:sz w:val="22"/>
    </w:rPr>
  </w:style>
  <w:style w:type="character" w:styleId="WW8Num14z0">
    <w:name w:val="WW8Num14z0"/>
    <w:qFormat/>
    <w:rPr>
      <w:rFonts w:ascii="Arial" w:hAnsi="Arial" w:cs="Arial"/>
      <w:sz w:val="22"/>
    </w:rPr>
  </w:style>
  <w:style w:type="character" w:styleId="WW8Num15z0">
    <w:name w:val="WW8Num15z0"/>
    <w:qFormat/>
    <w:rPr/>
  </w:style>
  <w:style w:type="character" w:styleId="WW8Num16z0">
    <w:name w:val="WW8Num16z0"/>
    <w:qFormat/>
    <w:rPr>
      <w:rFonts w:ascii="Arial" w:hAnsi="Arial" w:cs="Arial"/>
      <w:sz w:val="22"/>
    </w:rPr>
  </w:style>
  <w:style w:type="character" w:styleId="WW8Num17z0">
    <w:name w:val="WW8Num17z0"/>
    <w:qFormat/>
    <w:rPr>
      <w:rFonts w:ascii="Arial" w:hAnsi="Arial" w:cs="Arial"/>
      <w:sz w:val="22"/>
    </w:rPr>
  </w:style>
  <w:style w:type="character" w:styleId="WW8Num18z0">
    <w:name w:val="WW8Num18z0"/>
    <w:qFormat/>
    <w:rPr/>
  </w:style>
  <w:style w:type="character" w:styleId="WW8Num19z0">
    <w:name w:val="WW8Num19z0"/>
    <w:qFormat/>
    <w:rPr>
      <w:rFonts w:ascii="Arial" w:hAnsi="Arial" w:cs="Arial"/>
      <w:sz w:val="22"/>
    </w:rPr>
  </w:style>
  <w:style w:type="character" w:styleId="WW8Num20z0">
    <w:name w:val="WW8Num20z0"/>
    <w:qFormat/>
    <w:rPr>
      <w:rFonts w:ascii="Arial" w:hAnsi="Arial" w:cs="Arial"/>
      <w:sz w:val="22"/>
      <w:u w:val="none"/>
    </w:rPr>
  </w:style>
  <w:style w:type="character" w:styleId="WW8Num21z0">
    <w:name w:val="WW8Num21z0"/>
    <w:qFormat/>
    <w:rPr>
      <w:rFonts w:ascii="Arial" w:hAnsi="Arial" w:cs="Arial"/>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i/>
      <w:sz w:val="28"/>
    </w:rPr>
  </w:style>
  <w:style w:type="paragraph" w:styleId="BodyText">
    <w:name w:val="Body Text"/>
    <w:basedOn w:val="Normal"/>
    <w:pPr>
      <w:jc w:val="both"/>
    </w:pPr>
    <w:rPr>
      <w:i/>
      <w:sz w:val="22"/>
    </w:rPr>
  </w:style>
  <w:style w:type="paragraph" w:styleId="List">
    <w:name w:val="List"/>
    <w:basedOn w:val="BodyText"/>
    <w:pPr/>
    <w:rPr>
      <w:rFonts w:cs="NotoSans NF"/>
    </w:rPr>
  </w:style>
  <w:style w:type="paragraph" w:styleId="Caption">
    <w:name w:val="caption"/>
    <w:basedOn w:val="Normal"/>
    <w:next w:val="Normal"/>
    <w:qFormat/>
    <w:pPr>
      <w:jc w:val="center"/>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rPr>
      <w:sz w:val="22"/>
    </w:rPr>
  </w:style>
  <w:style w:type="paragraph" w:styleId="BodyTextIndent">
    <w:name w:val="Body Text Indent"/>
    <w:basedOn w:val="Normal"/>
    <w:pPr>
      <w:spacing w:before="0" w:after="120"/>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2000-10-13T20:14:00Z</dcterms:created>
  <dc:creator>SCHLOERB, JOHN</dc:creator>
  <dc:description>776536.03</dc:description>
  <dc:language>en-CA</dc:language>
  <cp:lastModifiedBy>Winston &amp; Strawn</cp:lastModifiedBy>
  <cp:lastPrinted>2000-10-13T17:44:00Z</cp:lastPrinted>
  <dcterms:modified xsi:type="dcterms:W3CDTF">2000-10-13T20:14:00Z</dcterms:modified>
  <cp:revision>3</cp:revision>
  <dc:subject>5525.5</dc:subject>
  <dc:title>WestLB - RioGen CAA Term Sheet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bool>1</vt:bool>
  </property>
</Properties>
</file>