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z w:val="20"/>
        </w:rPr>
      </w:pPr>
      <w:r>
        <w:rPr>
          <w:rFonts w:cs="Arial" w:ascii="Arial" w:hAnsi="Arial"/>
          <w:b/>
          <w:sz w:val="20"/>
        </w:rPr>
      </w:r>
    </w:p>
    <w:p>
      <w:pPr>
        <w:pStyle w:val="Normal"/>
        <w:jc w:val="center"/>
        <w:rPr>
          <w:rFonts w:ascii="Arial" w:hAnsi="Arial" w:cs="Arial"/>
          <w:b/>
          <w:sz w:val="20"/>
        </w:rPr>
      </w:pPr>
      <w:r>
        <w:rPr>
          <w:rFonts w:cs="Arial" w:ascii="Arial" w:hAnsi="Arial"/>
          <w:b/>
          <w:sz w:val="20"/>
        </w:rPr>
      </w:r>
    </w:p>
    <w:p>
      <w:pPr>
        <w:pStyle w:val="Normal"/>
        <w:ind w:end="324"/>
        <w:jc w:val="center"/>
        <w:rPr>
          <w:rFonts w:ascii="Arial" w:hAnsi="Arial" w:cs="Arial"/>
          <w:b/>
          <w:sz w:val="20"/>
        </w:rPr>
      </w:pPr>
      <w:r>
        <w:rPr>
          <w:rFonts w:cs="Arial" w:ascii="Arial" w:hAnsi="Arial"/>
          <w:b/>
          <w:sz w:val="20"/>
        </w:rPr>
      </w:r>
    </w:p>
    <w:p>
      <w:pPr>
        <w:pStyle w:val="Normal"/>
        <w:ind w:end="324"/>
        <w:jc w:val="center"/>
        <w:rPr>
          <w:rFonts w:ascii="Arial" w:hAnsi="Arial" w:cs="Arial"/>
          <w:b/>
          <w:sz w:val="20"/>
        </w:rPr>
      </w:pPr>
      <w:r>
        <w:rPr>
          <w:rFonts w:cs="Arial" w:ascii="Arial" w:hAnsi="Arial"/>
          <w:b/>
          <w:sz w:val="20"/>
        </w:rPr>
      </w:r>
    </w:p>
    <w:p>
      <w:pPr>
        <w:pStyle w:val="Normal"/>
        <w:ind w:end="324"/>
        <w:jc w:val="center"/>
        <w:rPr>
          <w:rFonts w:ascii="Arial" w:hAnsi="Arial" w:cs="Arial"/>
          <w:b/>
          <w:sz w:val="20"/>
        </w:rPr>
      </w:pPr>
      <w:r>
        <w:rPr>
          <w:rFonts w:cs="Arial" w:ascii="Arial" w:hAnsi="Arial"/>
          <w:b/>
          <w:sz w:val="20"/>
        </w:rPr>
      </w:r>
    </w:p>
    <w:p>
      <w:pPr>
        <w:pStyle w:val="Normal"/>
        <w:ind w:end="324"/>
        <w:jc w:val="center"/>
        <w:rPr>
          <w:rFonts w:ascii="Arial" w:hAnsi="Arial" w:cs="Arial"/>
          <w:b/>
          <w:sz w:val="20"/>
        </w:rPr>
      </w:pPr>
      <w:r>
        <w:rPr>
          <w:rFonts w:cs="Arial" w:ascii="Arial" w:hAnsi="Arial"/>
          <w:b/>
          <w:sz w:val="20"/>
        </w:rPr>
      </w:r>
    </w:p>
    <w:p>
      <w:pPr>
        <w:pStyle w:val="Normal"/>
        <w:ind w:end="324"/>
        <w:jc w:val="center"/>
        <w:rPr>
          <w:rFonts w:ascii="Arial" w:hAnsi="Arial" w:cs="Arial"/>
          <w:b/>
          <w:sz w:val="20"/>
        </w:rPr>
      </w:pPr>
      <w:r>
        <w:rPr>
          <w:rFonts w:cs="Arial" w:ascii="Arial" w:hAnsi="Arial"/>
          <w:b/>
          <w:sz w:val="20"/>
        </w:rPr>
      </w:r>
    </w:p>
    <w:p>
      <w:pPr>
        <w:pStyle w:val="Normal"/>
        <w:ind w:end="324"/>
        <w:jc w:val="center"/>
        <w:rPr>
          <w:rFonts w:ascii="Arial" w:hAnsi="Arial" w:cs="Arial"/>
          <w:b/>
          <w:bCs/>
          <w:sz w:val="22"/>
        </w:rPr>
      </w:pPr>
      <w:r>
        <w:rPr>
          <w:rFonts w:cs="Arial" w:ascii="Arial" w:hAnsi="Arial"/>
          <w:b/>
          <w:bCs/>
          <w:sz w:val="22"/>
        </w:rPr>
      </w:r>
    </w:p>
    <w:p>
      <w:pPr>
        <w:pStyle w:val="Normal"/>
        <w:ind w:end="324"/>
        <w:jc w:val="center"/>
        <w:rPr>
          <w:bCs/>
          <w:sz w:val="22"/>
        </w:rPr>
      </w:pPr>
      <w:r>
        <w:rPr>
          <w:bCs/>
          <w:sz w:val="22"/>
        </w:rPr>
        <w:t>November 26, 2001</w:t>
      </w:r>
    </w:p>
    <w:p>
      <w:pPr>
        <w:pStyle w:val="Normal"/>
        <w:ind w:end="324"/>
        <w:jc w:val="center"/>
        <w:rPr>
          <w:bCs/>
          <w:sz w:val="22"/>
        </w:rPr>
      </w:pPr>
      <w:r>
        <w:rPr>
          <w:bCs/>
          <w:sz w:val="22"/>
        </w:rPr>
      </w:r>
    </w:p>
    <w:p>
      <w:pPr>
        <w:pStyle w:val="Normal"/>
        <w:ind w:end="324"/>
        <w:jc w:val="both"/>
        <w:rPr>
          <w:bCs/>
          <w:sz w:val="22"/>
        </w:rPr>
      </w:pPr>
      <w:r>
        <w:rPr>
          <w:bCs/>
          <w:sz w:val="22"/>
        </w:rPr>
      </w:r>
    </w:p>
    <w:p>
      <w:pPr>
        <w:pStyle w:val="Normal"/>
        <w:ind w:end="324"/>
        <w:jc w:val="both"/>
        <w:rPr>
          <w:bCs/>
          <w:sz w:val="22"/>
        </w:rPr>
      </w:pPr>
      <w:r>
        <w:rPr>
          <w:bCs/>
          <w:sz w:val="22"/>
        </w:rPr>
      </w:r>
    </w:p>
    <w:p>
      <w:pPr>
        <w:pStyle w:val="Normal"/>
        <w:ind w:end="324"/>
        <w:jc w:val="both"/>
        <w:rPr>
          <w:bCs/>
          <w:sz w:val="22"/>
        </w:rPr>
      </w:pPr>
      <w:r>
        <w:rPr>
          <w:bCs/>
          <w:sz w:val="22"/>
        </w:rPr>
      </w:r>
    </w:p>
    <w:p>
      <w:pPr>
        <w:pStyle w:val="Normal"/>
        <w:ind w:end="324"/>
        <w:jc w:val="both"/>
        <w:rPr>
          <w:bCs/>
          <w:sz w:val="22"/>
        </w:rPr>
      </w:pPr>
      <w:r>
        <w:rPr>
          <w:bCs/>
          <w:sz w:val="22"/>
        </w:rPr>
      </w:r>
    </w:p>
    <w:p>
      <w:pPr>
        <w:pStyle w:val="Normal"/>
        <w:ind w:end="-216"/>
        <w:jc w:val="both"/>
        <w:rPr>
          <w:bCs/>
          <w:sz w:val="22"/>
        </w:rPr>
      </w:pPr>
      <w:r>
        <w:rPr>
          <w:bCs/>
          <w:sz w:val="22"/>
        </w:rPr>
        <w:t>Vinson and Elkins</w:t>
      </w:r>
    </w:p>
    <w:p>
      <w:pPr>
        <w:pStyle w:val="Normal"/>
        <w:ind w:end="-216"/>
        <w:jc w:val="both"/>
        <w:rPr>
          <w:bCs/>
          <w:sz w:val="22"/>
        </w:rPr>
      </w:pPr>
      <w:r>
        <w:rPr>
          <w:bCs/>
          <w:sz w:val="22"/>
        </w:rPr>
        <w:t>International Business Strategies</w:t>
      </w:r>
    </w:p>
    <w:p>
      <w:pPr>
        <w:pStyle w:val="Normal"/>
        <w:ind w:end="-216"/>
        <w:jc w:val="both"/>
        <w:rPr>
          <w:bCs/>
          <w:sz w:val="22"/>
        </w:rPr>
      </w:pPr>
      <w:r>
        <w:rPr>
          <w:bCs/>
          <w:sz w:val="22"/>
        </w:rPr>
        <w:t>1001 Fannin Street</w:t>
      </w:r>
    </w:p>
    <w:p>
      <w:pPr>
        <w:pStyle w:val="Normal"/>
        <w:ind w:end="-216"/>
        <w:jc w:val="both"/>
        <w:rPr>
          <w:bCs/>
          <w:sz w:val="22"/>
        </w:rPr>
      </w:pPr>
      <w:r>
        <w:rPr>
          <w:bCs/>
          <w:sz w:val="22"/>
        </w:rPr>
        <w:t>Houston, Texas   77002</w:t>
      </w:r>
    </w:p>
    <w:p>
      <w:pPr>
        <w:pStyle w:val="Normal"/>
        <w:ind w:end="-216"/>
        <w:jc w:val="both"/>
        <w:rPr>
          <w:bCs/>
          <w:sz w:val="22"/>
        </w:rPr>
      </w:pPr>
      <w:r>
        <w:rPr>
          <w:bCs/>
          <w:sz w:val="22"/>
        </w:rPr>
        <w:t>Attn:  Ms. Julie Smith</w:t>
      </w:r>
    </w:p>
    <w:p>
      <w:pPr>
        <w:pStyle w:val="Normal"/>
        <w:ind w:end="-216"/>
        <w:jc w:val="both"/>
        <w:rPr>
          <w:bCs/>
          <w:sz w:val="22"/>
        </w:rPr>
      </w:pPr>
      <w:r>
        <w:rPr>
          <w:bCs/>
          <w:sz w:val="22"/>
        </w:rPr>
      </w:r>
    </w:p>
    <w:p>
      <w:pPr>
        <w:pStyle w:val="Normal"/>
        <w:ind w:end="-216"/>
        <w:jc w:val="center"/>
        <w:rPr>
          <w:bCs/>
          <w:sz w:val="22"/>
        </w:rPr>
      </w:pPr>
      <w:r>
        <w:rPr>
          <w:bCs/>
          <w:sz w:val="22"/>
        </w:rPr>
      </w:r>
    </w:p>
    <w:p>
      <w:pPr>
        <w:pStyle w:val="Normal"/>
        <w:ind w:end="-216"/>
        <w:jc w:val="both"/>
        <w:rPr>
          <w:bCs/>
          <w:sz w:val="22"/>
        </w:rPr>
      </w:pPr>
      <w:r>
        <w:rPr>
          <w:bCs/>
          <w:sz w:val="22"/>
        </w:rPr>
        <w:t>Dear Ms. Smith:</w:t>
      </w:r>
    </w:p>
    <w:p>
      <w:pPr>
        <w:pStyle w:val="Normal"/>
        <w:ind w:end="-216"/>
        <w:jc w:val="both"/>
        <w:rPr>
          <w:bCs/>
          <w:sz w:val="22"/>
        </w:rPr>
      </w:pPr>
      <w:r>
        <w:rPr>
          <w:bCs/>
          <w:sz w:val="22"/>
        </w:rPr>
      </w:r>
    </w:p>
    <w:p>
      <w:pPr>
        <w:pStyle w:val="BodyText3"/>
        <w:rPr/>
      </w:pPr>
      <w:r>
        <w:rPr/>
        <w:t xml:space="preserve">This letter provides the indicative pricing terms for the purchase and sale of natural gas supply for the Rio Bravo IV power plant project for the additional alternatives discussed during the conference call last week.  The other indicative terms described in ENA’s proposal dated November 20, 2001 will continue to apply for these alternatives.   </w:t>
      </w:r>
    </w:p>
    <w:p>
      <w:pPr>
        <w:pStyle w:val="Normal"/>
        <w:spacing w:before="0" w:after="120"/>
        <w:ind w:end="-216"/>
        <w:jc w:val="both"/>
        <w:rPr>
          <w:bCs/>
          <w:sz w:val="22"/>
        </w:rPr>
      </w:pPr>
      <w:r>
        <w:rPr>
          <w:bCs/>
          <w:sz w:val="22"/>
        </w:rPr>
        <w:t>The following is ENA’s indicative proposal to supply gas to the Project:</w:t>
      </w:r>
    </w:p>
    <w:p>
      <w:pPr>
        <w:pStyle w:val="Normal"/>
        <w:spacing w:before="0" w:after="120"/>
        <w:ind w:end="324"/>
        <w:jc w:val="both"/>
        <w:rPr>
          <w:bCs/>
          <w:sz w:val="22"/>
        </w:rPr>
      </w:pPr>
      <w:r>
        <w:rPr>
          <w:bCs/>
          <w:sz w:val="22"/>
        </w:rPr>
      </w:r>
    </w:p>
    <w:tbl>
      <w:tblPr>
        <w:tblW w:w="10908" w:type="dxa"/>
        <w:jc w:val="start"/>
        <w:tblInd w:w="0" w:type="dxa"/>
        <w:tblLayout w:type="fixed"/>
        <w:tblCellMar>
          <w:top w:w="0" w:type="dxa"/>
          <w:start w:w="108" w:type="dxa"/>
          <w:bottom w:w="0" w:type="dxa"/>
          <w:end w:w="108" w:type="dxa"/>
        </w:tblCellMar>
      </w:tblPr>
      <w:tblGrid>
        <w:gridCol w:w="4248"/>
        <w:gridCol w:w="6660"/>
      </w:tblGrid>
      <w:tr>
        <w:trPr/>
        <w:tc>
          <w:tcPr>
            <w:tcW w:w="4248" w:type="dxa"/>
            <w:tcBorders/>
          </w:tcPr>
          <w:p>
            <w:pPr>
              <w:pStyle w:val="Normal"/>
              <w:ind w:end="324"/>
              <w:jc w:val="both"/>
              <w:rPr>
                <w:bCs/>
                <w:sz w:val="22"/>
              </w:rPr>
            </w:pPr>
            <w:r>
              <w:rPr>
                <w:bCs/>
                <w:sz w:val="22"/>
              </w:rPr>
              <w:t>Term, Type of Service, Quantity &amp; Price:</w:t>
            </w:r>
          </w:p>
          <w:p>
            <w:pPr>
              <w:pStyle w:val="Normal"/>
              <w:ind w:end="324"/>
              <w:jc w:val="both"/>
              <w:rPr>
                <w:bCs/>
                <w:sz w:val="22"/>
              </w:rPr>
            </w:pPr>
            <w:r>
              <w:rPr>
                <w:bCs/>
                <w:sz w:val="22"/>
              </w:rPr>
            </w:r>
          </w:p>
        </w:tc>
        <w:tc>
          <w:tcPr>
            <w:tcW w:w="6660" w:type="dxa"/>
            <w:tcBorders/>
          </w:tcPr>
          <w:p>
            <w:pPr>
              <w:pStyle w:val="Normal"/>
              <w:ind w:end="324"/>
              <w:jc w:val="both"/>
              <w:rPr>
                <w:bCs/>
                <w:sz w:val="22"/>
                <w:u w:val="single"/>
              </w:rPr>
            </w:pPr>
            <w:r>
              <w:rPr>
                <w:bCs/>
                <w:sz w:val="22"/>
                <w:u w:val="single"/>
              </w:rPr>
              <w:t>OPTION I (a) &amp; (b):</w:t>
            </w:r>
          </w:p>
          <w:p>
            <w:pPr>
              <w:pStyle w:val="Normal"/>
              <w:ind w:end="324"/>
              <w:jc w:val="both"/>
              <w:rPr>
                <w:bCs/>
                <w:sz w:val="22"/>
                <w:u w:val="single"/>
              </w:rPr>
            </w:pPr>
            <w:r>
              <w:rPr>
                <w:bCs/>
                <w:sz w:val="22"/>
                <w:u w:val="single"/>
              </w:rPr>
            </w:r>
          </w:p>
          <w:p>
            <w:pPr>
              <w:pStyle w:val="Normal"/>
              <w:ind w:end="324"/>
              <w:jc w:val="both"/>
              <w:rPr>
                <w:bCs/>
                <w:sz w:val="22"/>
                <w:u w:val="single"/>
              </w:rPr>
            </w:pPr>
            <w:r>
              <w:rPr>
                <w:bCs/>
                <w:sz w:val="22"/>
                <w:u w:val="single"/>
              </w:rPr>
              <w:t>A)  Commercial Operations Period (Ten Years -- April 1, 2005 through March 31, 2015)</w:t>
            </w:r>
          </w:p>
          <w:p>
            <w:pPr>
              <w:pStyle w:val="Normal"/>
              <w:ind w:end="324"/>
              <w:jc w:val="both"/>
              <w:rPr>
                <w:bCs/>
                <w:sz w:val="22"/>
                <w:u w:val="single"/>
              </w:rPr>
            </w:pPr>
            <w:r>
              <w:rPr>
                <w:bCs/>
                <w:sz w:val="22"/>
                <w:u w:val="single"/>
              </w:rPr>
            </w:r>
          </w:p>
          <w:p>
            <w:pPr>
              <w:pStyle w:val="Normal"/>
              <w:ind w:end="324"/>
              <w:jc w:val="both"/>
              <w:rPr>
                <w:bCs/>
                <w:sz w:val="22"/>
              </w:rPr>
            </w:pPr>
            <w:r>
              <w:rPr>
                <w:bCs/>
                <w:sz w:val="22"/>
              </w:rPr>
              <w:t>Firm Sale to Buyer</w:t>
            </w:r>
          </w:p>
          <w:p>
            <w:pPr>
              <w:pStyle w:val="Normal"/>
              <w:ind w:end="324"/>
              <w:jc w:val="both"/>
              <w:rPr>
                <w:bCs/>
                <w:sz w:val="22"/>
              </w:rPr>
            </w:pPr>
            <w:r>
              <w:rPr>
                <w:bCs/>
                <w:sz w:val="22"/>
              </w:rPr>
            </w:r>
          </w:p>
          <w:p>
            <w:pPr>
              <w:pStyle w:val="Normal"/>
              <w:ind w:end="324"/>
              <w:jc w:val="both"/>
              <w:rPr>
                <w:bCs/>
                <w:sz w:val="22"/>
              </w:rPr>
            </w:pPr>
            <w:r>
              <w:rPr>
                <w:bCs/>
                <w:sz w:val="22"/>
              </w:rPr>
              <w:t xml:space="preserve">MinDQ of 0 MMBtu/day </w:t>
            </w:r>
          </w:p>
          <w:p>
            <w:pPr>
              <w:pStyle w:val="Normal"/>
              <w:ind w:end="324"/>
              <w:jc w:val="both"/>
              <w:rPr>
                <w:bCs/>
                <w:sz w:val="22"/>
              </w:rPr>
            </w:pPr>
            <w:r>
              <w:rPr>
                <w:bCs/>
                <w:sz w:val="22"/>
              </w:rPr>
            </w:r>
          </w:p>
          <w:p>
            <w:pPr>
              <w:pStyle w:val="Normal"/>
              <w:ind w:end="324"/>
              <w:jc w:val="both"/>
              <w:rPr>
                <w:bCs/>
                <w:sz w:val="22"/>
              </w:rPr>
            </w:pPr>
            <w:r>
              <w:rPr>
                <w:bCs/>
                <w:sz w:val="22"/>
              </w:rPr>
              <w:t>Maximum Daily Quantity (“MDQ”) is (a) 65,000 MMBtu/day, or (b) 90,000 MMBtu/day</w:t>
            </w:r>
          </w:p>
          <w:p>
            <w:pPr>
              <w:pStyle w:val="Normal"/>
              <w:ind w:end="324"/>
              <w:jc w:val="both"/>
              <w:rPr>
                <w:bCs/>
                <w:sz w:val="22"/>
              </w:rPr>
            </w:pPr>
            <w:r>
              <w:rPr>
                <w:bCs/>
                <w:sz w:val="22"/>
              </w:rPr>
            </w:r>
          </w:p>
          <w:p>
            <w:pPr>
              <w:pStyle w:val="Normal"/>
              <w:ind w:end="324"/>
              <w:jc w:val="both"/>
              <w:rPr>
                <w:bCs/>
                <w:sz w:val="22"/>
              </w:rPr>
            </w:pPr>
            <w:r>
              <w:rPr>
                <w:bCs/>
                <w:sz w:val="22"/>
              </w:rPr>
              <w:t>Maximum Annual Quantity (“MAQ”) is (a) 15,421,250 MMBtu, or (b) 21,352,500 MMBtu (Annual Take Percentage is 65 %)</w:t>
            </w:r>
          </w:p>
          <w:p>
            <w:pPr>
              <w:pStyle w:val="Normal"/>
              <w:ind w:end="324"/>
              <w:jc w:val="both"/>
              <w:rPr>
                <w:bCs/>
                <w:sz w:val="22"/>
              </w:rPr>
            </w:pPr>
            <w:r>
              <w:rPr>
                <w:bCs/>
                <w:sz w:val="22"/>
              </w:rPr>
            </w:r>
          </w:p>
          <w:p>
            <w:pPr>
              <w:pStyle w:val="NormalJustified"/>
              <w:ind w:hanging="2880" w:start="2880" w:end="324"/>
              <w:rPr/>
            </w:pPr>
            <w:r>
              <w:rPr>
                <w:bCs/>
                <w:sz w:val="22"/>
              </w:rPr>
              <w:t xml:space="preserve">Price:  </w:t>
            </w:r>
            <w:r>
              <w:rPr>
                <w:sz w:val="22"/>
                <w:lang w:val="en-GB"/>
              </w:rPr>
              <w:t>The</w:t>
            </w:r>
            <w:r>
              <w:rPr>
                <w:b/>
                <w:sz w:val="22"/>
                <w:lang w:val="en-GB"/>
              </w:rPr>
              <w:t xml:space="preserve"> </w:t>
            </w:r>
            <w:r>
              <w:rPr>
                <w:sz w:val="22"/>
                <w:lang w:val="en-GB"/>
              </w:rPr>
              <w:t>Buyer shall pay the Seller as follows:</w:t>
            </w:r>
          </w:p>
          <w:p>
            <w:pPr>
              <w:pStyle w:val="NormalJustified"/>
              <w:spacing w:before="240" w:after="0"/>
              <w:ind w:hanging="1080" w:start="1152" w:end="324"/>
              <w:rPr/>
            </w:pPr>
            <w:r>
              <w:rPr>
                <w:sz w:val="22"/>
                <w:lang w:val="en-GB"/>
              </w:rPr>
            </w:r>
            <m:oMath xmlns:m="http://schemas.openxmlformats.org/officeDocument/2006/math">
              <m:sSub>
                <m:e>
                  <m:r>
                    <m:rPr>
                      <m:lit/>
                      <m:nor/>
                    </m:rPr>
                    <m:t xml:space="preserve">TGC</m:t>
                  </m:r>
                </m:e>
                <m:sub>
                  <m:r>
                    <m:rPr>
                      <m:lit/>
                      <m:nor/>
                    </m:rPr>
                    <m:t xml:space="preserve">US</m:t>
                  </m:r>
                  <m:r>
                    <m:t xml:space="preserve">$</m:t>
                  </m:r>
                </m:sub>
              </m:sSub>
              <m:r>
                <m:t xml:space="preserve">=</m:t>
              </m:r>
              <m:nary>
                <m:naryPr>
                  <m:chr m:val="∑"/>
                </m:naryPr>
                <m:sub>
                  <m:r>
                    <m:t xml:space="preserve">d</m:t>
                  </m:r>
                  <m:r>
                    <m:t xml:space="preserve">=</m:t>
                  </m:r>
                  <m:r>
                    <m:t xml:space="preserve">1</m:t>
                  </m:r>
                </m:sub>
                <m:sup>
                  <m:r>
                    <m:t xml:space="preserve">d</m:t>
                  </m:r>
                  <m:r>
                    <m:t xml:space="preserve">=</m:t>
                  </m:r>
                  <m:r>
                    <m:t xml:space="preserve">m</m:t>
                  </m:r>
                </m:sup>
                <m:e>
                  <m:d>
                    <m:dPr>
                      <m:begChr m:val="{"/>
                      <m:endChr m:val="}"/>
                    </m:dPr>
                    <m:e>
                      <m:r>
                        <m:t xml:space="preserve">[</m:t>
                      </m:r>
                      <m:sSub>
                        <m:e>
                          <m:r>
                            <m:t xml:space="preserve">Q</m:t>
                          </m:r>
                        </m:e>
                        <m:sub>
                          <m:r>
                            <m:t xml:space="preserve">d</m:t>
                          </m:r>
                        </m:sub>
                      </m:sSub>
                      <m:r>
                        <m:t xml:space="preserve">∗</m:t>
                      </m:r>
                      <m:r>
                        <m:t xml:space="preserve">(</m:t>
                      </m:r>
                      <m:sSub>
                        <m:e>
                          <m:r>
                            <m:rPr>
                              <m:lit/>
                              <m:nor/>
                            </m:rPr>
                            <m:t xml:space="preserve">INDEX</m:t>
                          </m:r>
                        </m:e>
                        <m:sub>
                          <m:r>
                            <m:t xml:space="preserve">d</m:t>
                          </m:r>
                        </m:sub>
                      </m:sSub>
                      <m:r>
                        <m:t xml:space="preserve">+</m:t>
                      </m:r>
                      <m:r>
                        <m:t xml:space="preserve">K</m:t>
                      </m:r>
                      <m:r>
                        <m:t xml:space="preserve">)</m:t>
                      </m:r>
                      <m:r>
                        <m:t xml:space="preserve">]</m:t>
                      </m:r>
                      <m:r>
                        <m:t xml:space="preserve">+</m:t>
                      </m:r>
                      <m:r>
                        <m:t xml:space="preserve">[</m:t>
                      </m:r>
                      <m:sSub>
                        <m:e>
                          <m:r>
                            <m:t xml:space="preserve">Q</m:t>
                          </m:r>
                        </m:e>
                        <m:sub>
                          <m:r>
                            <m:t xml:space="preserve">m</m:t>
                          </m:r>
                        </m:sub>
                      </m:sSub>
                      <m:r>
                        <m:t xml:space="preserve">∗</m:t>
                      </m:r>
                      <m:r>
                        <m:t xml:space="preserve">0</m:t>
                      </m:r>
                      <m:r>
                        <m:rPr>
                          <m:lit/>
                          <m:nor/>
                        </m:rPr>
                        <m:t xml:space="preserve">.</m:t>
                      </m:r>
                      <m:r>
                        <m:rPr>
                          <m:lit/>
                          <m:nor/>
                        </m:rPr>
                        <m:t xml:space="preserve">07</m:t>
                      </m:r>
                      <m:r>
                        <m:t xml:space="preserve">]</m:t>
                      </m:r>
                    </m:e>
                    <m:e/>
                  </m:d>
                </m:e>
              </m:nary>
            </m:oMath>
            <w:r>
              <w:rPr>
                <w:rFonts w:eastAsia="Times New Roman"/>
                <w:sz w:val="22"/>
                <w:lang w:val="en-GB"/>
              </w:rPr>
              <w:t xml:space="preserve">   </w:t>
            </w:r>
            <w:r>
              <w:rPr>
                <w:sz w:val="22"/>
                <w:lang w:val="en-GB"/>
              </w:rPr>
              <w:tab/>
              <w:t xml:space="preserve"> </w:t>
            </w:r>
          </w:p>
          <w:p>
            <w:pPr>
              <w:pStyle w:val="NormalJustified"/>
              <w:spacing w:before="240" w:after="0"/>
              <w:ind w:start="1152" w:end="324"/>
              <w:rPr>
                <w:sz w:val="22"/>
                <w:lang w:val="en-GB"/>
              </w:rPr>
            </w:pPr>
            <w:r>
              <w:rPr>
                <w:sz w:val="22"/>
                <w:lang w:val="en-GB"/>
              </w:rPr>
              <w:t>where:</w:t>
            </w:r>
          </w:p>
          <w:p>
            <w:pPr>
              <w:pStyle w:val="NormalJustified"/>
              <w:tabs>
                <w:tab w:val="clear" w:pos="720"/>
                <w:tab w:val="left" w:pos="1890" w:leader="none"/>
                <w:tab w:val="left" w:pos="2430" w:leader="none"/>
              </w:tabs>
              <w:spacing w:before="240" w:after="0"/>
              <w:ind w:start="1152" w:end="324"/>
              <w:rPr/>
            </w:pPr>
            <w:r>
              <w:rPr>
                <w:b/>
                <w:sz w:val="22"/>
                <w:lang w:val="en-GB"/>
              </w:rPr>
              <w:t>TGC</w:t>
            </w:r>
            <w:r>
              <w:rPr>
                <w:b/>
                <w:sz w:val="22"/>
                <w:vertAlign w:val="subscript"/>
                <w:lang w:val="en-GB"/>
              </w:rPr>
              <w:t xml:space="preserve">US$   </w:t>
            </w:r>
            <w:r>
              <w:rPr>
                <w:sz w:val="22"/>
                <w:lang w:val="en-GB"/>
              </w:rPr>
              <w:t>=</w:t>
              <w:tab/>
              <w:t>Total monthly Gas cost paid in US$</w:t>
            </w:r>
          </w:p>
          <w:p>
            <w:pPr>
              <w:pStyle w:val="NormalJustified"/>
              <w:tabs>
                <w:tab w:val="clear" w:pos="720"/>
                <w:tab w:val="left" w:pos="1890" w:leader="none"/>
                <w:tab w:val="left" w:pos="2430" w:leader="none"/>
              </w:tabs>
              <w:spacing w:before="120" w:after="0"/>
              <w:ind w:start="1152" w:end="324"/>
              <w:rPr/>
            </w:pPr>
            <w:r>
              <w:rPr>
                <w:b/>
                <w:i/>
                <w:iCs/>
                <w:sz w:val="22"/>
                <w:lang w:val="en-GB"/>
              </w:rPr>
              <w:t>Q</w:t>
            </w:r>
            <w:r>
              <w:rPr>
                <w:b/>
                <w:i/>
                <w:iCs/>
                <w:sz w:val="22"/>
                <w:vertAlign w:val="subscript"/>
                <w:lang w:val="en-GB"/>
              </w:rPr>
              <w:t>d</w:t>
            </w:r>
            <w:r>
              <w:rPr>
                <w:b/>
                <w:sz w:val="22"/>
                <w:lang w:val="en-GB"/>
              </w:rPr>
              <w:t xml:space="preserve">  =</w:t>
              <w:tab/>
            </w:r>
            <w:r>
              <w:rPr>
                <w:bCs/>
                <w:sz w:val="22"/>
                <w:lang w:val="en-GB"/>
              </w:rPr>
              <w:t>Daily nominated volume up to (a) 65</w:t>
            </w:r>
            <w:r>
              <w:rPr>
                <w:sz w:val="22"/>
                <w:lang w:val="en-GB"/>
              </w:rPr>
              <w:t>,000 MMBtu/day, or (b) 90,000 MMBtu/day</w:t>
            </w:r>
          </w:p>
          <w:p>
            <w:pPr>
              <w:pStyle w:val="NormalJustified"/>
              <w:tabs>
                <w:tab w:val="clear" w:pos="720"/>
                <w:tab w:val="left" w:pos="1890" w:leader="none"/>
                <w:tab w:val="left" w:pos="2430" w:leader="none"/>
              </w:tabs>
              <w:spacing w:before="120" w:after="0"/>
              <w:ind w:start="1152" w:end="324"/>
              <w:rPr/>
            </w:pPr>
            <w:r>
              <w:rPr>
                <w:b/>
                <w:i/>
                <w:iCs/>
                <w:sz w:val="22"/>
                <w:lang w:val="en-GB"/>
              </w:rPr>
              <w:t>Q</w:t>
            </w:r>
            <w:r>
              <w:rPr>
                <w:b/>
                <w:i/>
                <w:iCs/>
                <w:sz w:val="22"/>
                <w:vertAlign w:val="subscript"/>
                <w:lang w:val="en-GB"/>
              </w:rPr>
              <w:t>m</w:t>
            </w:r>
            <w:r>
              <w:rPr>
                <w:b/>
                <w:sz w:val="22"/>
                <w:lang w:val="en-GB"/>
              </w:rPr>
              <w:t xml:space="preserve">  =</w:t>
              <w:tab/>
              <w:t xml:space="preserve">(a) </w:t>
            </w:r>
            <w:r>
              <w:rPr>
                <w:bCs/>
                <w:sz w:val="22"/>
                <w:lang w:val="en-GB"/>
              </w:rPr>
              <w:t>65</w:t>
            </w:r>
            <w:r>
              <w:rPr>
                <w:sz w:val="22"/>
                <w:lang w:val="en-GB"/>
              </w:rPr>
              <w:t>,000 MMBtu per day, or (b) 90,000 MMBtu/day</w:t>
            </w:r>
          </w:p>
          <w:p>
            <w:pPr>
              <w:pStyle w:val="NormalJustified"/>
              <w:tabs>
                <w:tab w:val="clear" w:pos="720"/>
                <w:tab w:val="left" w:pos="1890" w:leader="none"/>
                <w:tab w:val="left" w:pos="2430" w:leader="none"/>
              </w:tabs>
              <w:spacing w:before="120" w:after="0"/>
              <w:ind w:start="1152" w:end="324"/>
              <w:rPr/>
            </w:pPr>
            <w:r>
              <w:rPr>
                <w:b/>
                <w:sz w:val="22"/>
                <w:lang w:val="en-GB"/>
              </w:rPr>
              <w:t>INDEX</w:t>
            </w:r>
            <w:r>
              <w:rPr>
                <w:b/>
                <w:sz w:val="22"/>
                <w:vertAlign w:val="subscript"/>
                <w:lang w:val="en-GB"/>
              </w:rPr>
              <w:t xml:space="preserve">d   </w:t>
            </w:r>
            <w:r>
              <w:rPr>
                <w:sz w:val="22"/>
                <w:lang w:val="en-GB"/>
              </w:rPr>
              <w:t>=</w:t>
              <w:tab/>
              <w:t>The daily posted index for Tennessee under the heading South-Corpus Christi, as reported in Gas Daily, under the Daily Price Survey, for the corresponding Flow Date(s), Midpoint column, expressed in US$/MMBtu</w:t>
            </w:r>
          </w:p>
          <w:p>
            <w:pPr>
              <w:pStyle w:val="NormalJustified"/>
              <w:tabs>
                <w:tab w:val="clear" w:pos="720"/>
                <w:tab w:val="left" w:pos="1890" w:leader="none"/>
                <w:tab w:val="left" w:pos="2430" w:leader="none"/>
              </w:tabs>
              <w:spacing w:before="120" w:after="0"/>
              <w:ind w:start="1152" w:end="324"/>
              <w:rPr/>
            </w:pPr>
            <w:r>
              <w:rPr>
                <w:b/>
                <w:sz w:val="22"/>
                <w:lang w:val="en-GB"/>
              </w:rPr>
              <w:t xml:space="preserve">K </w:t>
            </w:r>
            <w:r>
              <w:rPr>
                <w:sz w:val="22"/>
                <w:lang w:val="en-GB"/>
              </w:rPr>
              <w:t>= The K adder to the INDEX</w:t>
            </w:r>
            <w:r>
              <w:rPr>
                <w:sz w:val="22"/>
                <w:vertAlign w:val="subscript"/>
                <w:lang w:val="en-GB"/>
              </w:rPr>
              <w:t>d</w:t>
            </w:r>
            <w:r>
              <w:rPr>
                <w:sz w:val="22"/>
                <w:lang w:val="en-GB"/>
              </w:rPr>
              <w:t>, which is fixed per MMBtu amount added to the daily INDEX, and equal to $0.0325 US$/MMBtu</w:t>
            </w:r>
            <w:r>
              <w:rPr>
                <w:bCs/>
                <w:sz w:val="22"/>
                <w:lang w:val="en-GB"/>
              </w:rPr>
              <w:t>.</w:t>
            </w:r>
          </w:p>
          <w:p>
            <w:pPr>
              <w:pStyle w:val="NormalJustified"/>
              <w:tabs>
                <w:tab w:val="clear" w:pos="720"/>
                <w:tab w:val="left" w:pos="4320" w:leader="none"/>
              </w:tabs>
              <w:ind w:start="1152" w:end="324"/>
              <w:rPr>
                <w:bCs/>
                <w:color w:val="000000"/>
                <w:sz w:val="22"/>
                <w:lang w:val="en-GB"/>
              </w:rPr>
            </w:pPr>
            <w:r>
              <w:rPr>
                <w:bCs/>
                <w:color w:val="000000"/>
                <w:sz w:val="22"/>
                <w:lang w:val="en-GB"/>
              </w:rPr>
            </w:r>
          </w:p>
          <w:p>
            <w:pPr>
              <w:pStyle w:val="Normal"/>
              <w:ind w:start="1152" w:end="324"/>
              <w:jc w:val="both"/>
              <w:rPr>
                <w:sz w:val="22"/>
                <w:lang w:val="en-GB"/>
              </w:rPr>
            </w:pPr>
            <w:r>
              <w:rPr>
                <w:sz w:val="22"/>
                <w:lang w:val="en-GB"/>
              </w:rPr>
              <w:t xml:space="preserve">The Gas Price specified herein is inclusive of all costs, </w:t>
            </w:r>
          </w:p>
          <w:p>
            <w:pPr>
              <w:pStyle w:val="Normal"/>
              <w:ind w:start="1152" w:end="324"/>
              <w:jc w:val="both"/>
              <w:rPr>
                <w:sz w:val="22"/>
              </w:rPr>
            </w:pPr>
            <w:r>
              <w:rPr>
                <w:sz w:val="22"/>
                <w:lang w:val="en-GB"/>
              </w:rPr>
              <w:t xml:space="preserve">taxes and fees to the Point of Sale.  Buyer will be responsible for any and all costs, including transportation and pipeline fuel retention, taxes and fees due at and after the Point of Sale.  </w:t>
            </w:r>
          </w:p>
          <w:p>
            <w:pPr>
              <w:pStyle w:val="NormalJustified"/>
              <w:tabs>
                <w:tab w:val="clear" w:pos="720"/>
                <w:tab w:val="left" w:pos="2880" w:leader="none"/>
                <w:tab w:val="left" w:pos="4320" w:leader="none"/>
              </w:tabs>
              <w:ind w:start="1152" w:end="324"/>
              <w:rPr/>
            </w:pPr>
            <w:r>
              <w:rPr>
                <w:sz w:val="22"/>
                <w:lang w:val="en-GB"/>
              </w:rPr>
              <w:br/>
              <w:t>Amounts due under the agreement will be invoiced by the 10</w:t>
            </w:r>
            <w:r>
              <w:rPr>
                <w:sz w:val="22"/>
                <w:vertAlign w:val="superscript"/>
                <w:lang w:val="en-GB"/>
              </w:rPr>
              <w:t>th</w:t>
            </w:r>
            <w:r>
              <w:rPr>
                <w:sz w:val="22"/>
                <w:lang w:val="en-GB"/>
              </w:rPr>
              <w:t xml:space="preserve"> day of the month following the month of service and will be payable by the 25</w:t>
            </w:r>
            <w:r>
              <w:rPr>
                <w:sz w:val="22"/>
                <w:vertAlign w:val="superscript"/>
                <w:lang w:val="en-GB"/>
              </w:rPr>
              <w:t>th</w:t>
            </w:r>
            <w:r>
              <w:rPr>
                <w:sz w:val="22"/>
                <w:lang w:val="en-GB"/>
              </w:rPr>
              <w:t xml:space="preserve"> day of the month in which such invoice was received.  Should the due date fall on a day that is not a business day in the United States, such payment will be due on the next business day.</w:t>
            </w:r>
          </w:p>
          <w:p>
            <w:pPr>
              <w:pStyle w:val="Normal"/>
              <w:ind w:end="324"/>
              <w:jc w:val="both"/>
              <w:rPr>
                <w:bCs/>
                <w:sz w:val="22"/>
                <w:lang w:val="en-GB"/>
              </w:rPr>
            </w:pPr>
            <w:r>
              <w:rPr>
                <w:bCs/>
                <w:sz w:val="22"/>
                <w:lang w:val="en-GB"/>
              </w:rPr>
            </w:r>
          </w:p>
          <w:p>
            <w:pPr>
              <w:pStyle w:val="Normal"/>
              <w:ind w:end="324"/>
              <w:jc w:val="both"/>
              <w:rPr>
                <w:bCs/>
                <w:sz w:val="22"/>
              </w:rPr>
            </w:pPr>
            <w:r>
              <w:rPr>
                <w:bCs/>
                <w:sz w:val="22"/>
              </w:rPr>
              <w:t>Repurchase Option for Minimum Annual Quantity:</w:t>
            </w:r>
          </w:p>
          <w:p>
            <w:pPr>
              <w:pStyle w:val="Normal"/>
              <w:ind w:end="324"/>
              <w:jc w:val="both"/>
              <w:rPr>
                <w:bCs/>
                <w:sz w:val="22"/>
              </w:rPr>
            </w:pPr>
            <w:r>
              <w:rPr>
                <w:bCs/>
                <w:sz w:val="22"/>
              </w:rPr>
            </w:r>
          </w:p>
          <w:p>
            <w:pPr>
              <w:pStyle w:val="Normal"/>
              <w:ind w:end="324"/>
              <w:jc w:val="both"/>
              <w:rPr>
                <w:bCs/>
                <w:sz w:val="22"/>
              </w:rPr>
            </w:pPr>
            <w:r>
              <w:rPr>
                <w:bCs/>
                <w:sz w:val="22"/>
              </w:rPr>
              <w:tab/>
              <w:t xml:space="preserve">Repurchase location is Tennessee Gas Pipeline’s (TGP’s) </w:t>
              <w:tab/>
              <w:t>Texas 100 Leg Pool No. 020826.</w:t>
            </w:r>
          </w:p>
          <w:p>
            <w:pPr>
              <w:pStyle w:val="Normal"/>
              <w:ind w:end="324"/>
              <w:jc w:val="both"/>
              <w:rPr>
                <w:bCs/>
                <w:sz w:val="22"/>
              </w:rPr>
            </w:pPr>
            <w:r>
              <w:rPr>
                <w:bCs/>
                <w:sz w:val="22"/>
              </w:rPr>
            </w:r>
          </w:p>
          <w:p>
            <w:pPr>
              <w:pStyle w:val="Normal"/>
              <w:ind w:end="324"/>
              <w:jc w:val="both"/>
              <w:rPr>
                <w:bCs/>
                <w:sz w:val="22"/>
              </w:rPr>
            </w:pPr>
            <w:r>
              <w:rPr>
                <w:bCs/>
                <w:sz w:val="22"/>
              </w:rPr>
              <w:tab/>
              <w:t xml:space="preserve">Price:  Daily posted price for Tennessee under the heading </w:t>
              <w:tab/>
              <w:t xml:space="preserve">South-Corpus Christi, as reported in Gas Daily, under the </w:t>
              <w:tab/>
              <w:t xml:space="preserve">Daily price Survey, for the corresponding Flow Date(s), </w:t>
              <w:tab/>
              <w:t>midpoint column less $0.005 $US/MMBtu.</w:t>
            </w:r>
          </w:p>
          <w:p>
            <w:pPr>
              <w:pStyle w:val="NormalJustified"/>
              <w:tabs>
                <w:tab w:val="clear" w:pos="720"/>
                <w:tab w:val="left" w:pos="2880" w:leader="none"/>
                <w:tab w:val="left" w:pos="4320" w:leader="none"/>
              </w:tabs>
              <w:ind w:hanging="2880" w:start="2880" w:end="324"/>
              <w:rPr>
                <w:sz w:val="22"/>
                <w:lang w:val="en-GB"/>
              </w:rPr>
            </w:pPr>
            <w:r>
              <w:rPr>
                <w:sz w:val="22"/>
                <w:lang w:val="en-GB"/>
              </w:rPr>
              <w:tab/>
            </w:r>
          </w:p>
          <w:p>
            <w:pPr>
              <w:pStyle w:val="Normal"/>
              <w:ind w:firstLine="432" w:end="324"/>
              <w:jc w:val="both"/>
              <w:rPr>
                <w:bCs/>
                <w:sz w:val="22"/>
                <w:lang w:val="en-GB"/>
              </w:rPr>
            </w:pPr>
            <w:r>
              <w:rPr>
                <w:bCs/>
                <w:sz w:val="22"/>
                <w:lang w:val="en-GB"/>
              </w:rPr>
            </w:r>
          </w:p>
          <w:p>
            <w:pPr>
              <w:pStyle w:val="Normal"/>
              <w:ind w:firstLine="432" w:end="324"/>
              <w:jc w:val="both"/>
              <w:rPr>
                <w:bCs/>
                <w:sz w:val="22"/>
              </w:rPr>
            </w:pPr>
            <w:r>
              <w:rPr>
                <w:bCs/>
                <w:sz w:val="22"/>
              </w:rPr>
            </w:r>
          </w:p>
          <w:p>
            <w:pPr>
              <w:pStyle w:val="Normal"/>
              <w:ind w:firstLine="432" w:end="324"/>
              <w:jc w:val="both"/>
              <w:rPr>
                <w:bCs/>
                <w:sz w:val="22"/>
              </w:rPr>
            </w:pPr>
            <w:r>
              <w:rPr>
                <w:bCs/>
                <w:sz w:val="22"/>
              </w:rPr>
            </w:r>
          </w:p>
          <w:p>
            <w:pPr>
              <w:pStyle w:val="Normal"/>
              <w:ind w:firstLine="432" w:end="324"/>
              <w:jc w:val="both"/>
              <w:rPr>
                <w:bCs/>
                <w:sz w:val="22"/>
              </w:rPr>
            </w:pPr>
            <w:r>
              <w:rPr>
                <w:bCs/>
                <w:sz w:val="22"/>
              </w:rPr>
            </w:r>
          </w:p>
          <w:p>
            <w:pPr>
              <w:pStyle w:val="Normal"/>
              <w:ind w:end="324"/>
              <w:jc w:val="both"/>
              <w:rPr>
                <w:bCs/>
                <w:sz w:val="22"/>
                <w:u w:val="single"/>
              </w:rPr>
            </w:pPr>
            <w:r>
              <w:rPr>
                <w:bCs/>
                <w:sz w:val="22"/>
                <w:u w:val="single"/>
              </w:rPr>
              <w:t>OPTION III (a) &amp; (b):</w:t>
            </w:r>
          </w:p>
          <w:p>
            <w:pPr>
              <w:pStyle w:val="Normal"/>
              <w:ind w:end="324"/>
              <w:jc w:val="both"/>
              <w:rPr>
                <w:bCs/>
                <w:sz w:val="22"/>
                <w:u w:val="single"/>
              </w:rPr>
            </w:pPr>
            <w:r>
              <w:rPr>
                <w:bCs/>
                <w:sz w:val="22"/>
                <w:u w:val="single"/>
              </w:rPr>
            </w:r>
          </w:p>
          <w:p>
            <w:pPr>
              <w:pStyle w:val="Normal"/>
              <w:ind w:end="324"/>
              <w:jc w:val="both"/>
              <w:rPr>
                <w:bCs/>
                <w:sz w:val="22"/>
                <w:u w:val="single"/>
              </w:rPr>
            </w:pPr>
            <w:r>
              <w:rPr>
                <w:bCs/>
                <w:sz w:val="22"/>
                <w:u w:val="single"/>
              </w:rPr>
              <w:t>A)  Commercial Operations Period (Ten Years -- April 1, 2005 through March 31, 2015)</w:t>
            </w:r>
          </w:p>
          <w:p>
            <w:pPr>
              <w:pStyle w:val="Normal"/>
              <w:ind w:end="324"/>
              <w:jc w:val="both"/>
              <w:rPr>
                <w:bCs/>
                <w:sz w:val="22"/>
                <w:u w:val="single"/>
              </w:rPr>
            </w:pPr>
            <w:r>
              <w:rPr>
                <w:bCs/>
                <w:sz w:val="22"/>
                <w:u w:val="single"/>
              </w:rPr>
            </w:r>
          </w:p>
          <w:p>
            <w:pPr>
              <w:pStyle w:val="Normal"/>
              <w:ind w:end="324"/>
              <w:jc w:val="both"/>
              <w:rPr>
                <w:bCs/>
                <w:sz w:val="22"/>
              </w:rPr>
            </w:pPr>
            <w:r>
              <w:rPr>
                <w:bCs/>
                <w:sz w:val="22"/>
              </w:rPr>
              <w:t>Firm Sale to Buyer</w:t>
            </w:r>
          </w:p>
          <w:p>
            <w:pPr>
              <w:pStyle w:val="Normal"/>
              <w:ind w:end="324"/>
              <w:jc w:val="both"/>
              <w:rPr>
                <w:bCs/>
                <w:sz w:val="22"/>
              </w:rPr>
            </w:pPr>
            <w:r>
              <w:rPr>
                <w:bCs/>
                <w:sz w:val="22"/>
              </w:rPr>
            </w:r>
          </w:p>
          <w:p>
            <w:pPr>
              <w:pStyle w:val="Normal"/>
              <w:ind w:end="324"/>
              <w:jc w:val="both"/>
              <w:rPr>
                <w:bCs/>
                <w:sz w:val="22"/>
              </w:rPr>
            </w:pPr>
            <w:r>
              <w:rPr>
                <w:bCs/>
                <w:sz w:val="22"/>
              </w:rPr>
              <w:t xml:space="preserve">MinDQ of 0 MMBtu/day </w:t>
            </w:r>
          </w:p>
          <w:p>
            <w:pPr>
              <w:pStyle w:val="Normal"/>
              <w:ind w:end="324"/>
              <w:jc w:val="both"/>
              <w:rPr>
                <w:bCs/>
                <w:sz w:val="22"/>
              </w:rPr>
            </w:pPr>
            <w:r>
              <w:rPr>
                <w:bCs/>
                <w:sz w:val="22"/>
              </w:rPr>
            </w:r>
          </w:p>
          <w:p>
            <w:pPr>
              <w:pStyle w:val="Normal"/>
              <w:ind w:end="324"/>
              <w:jc w:val="both"/>
              <w:rPr>
                <w:bCs/>
                <w:sz w:val="22"/>
              </w:rPr>
            </w:pPr>
            <w:r>
              <w:rPr>
                <w:bCs/>
                <w:sz w:val="22"/>
              </w:rPr>
              <w:t>Maximum Daily Quantity (“MDQ”) is (a) 65,000 MMBtu/day, or (b) 90,000 MMBtu/day</w:t>
            </w:r>
          </w:p>
          <w:p>
            <w:pPr>
              <w:pStyle w:val="Normal"/>
              <w:ind w:end="324"/>
              <w:jc w:val="both"/>
              <w:rPr>
                <w:bCs/>
                <w:sz w:val="22"/>
              </w:rPr>
            </w:pPr>
            <w:r>
              <w:rPr>
                <w:bCs/>
                <w:sz w:val="22"/>
              </w:rPr>
            </w:r>
          </w:p>
          <w:p>
            <w:pPr>
              <w:pStyle w:val="Normal"/>
              <w:ind w:end="324"/>
              <w:jc w:val="both"/>
              <w:rPr>
                <w:bCs/>
                <w:sz w:val="22"/>
              </w:rPr>
            </w:pPr>
            <w:r>
              <w:rPr>
                <w:bCs/>
                <w:sz w:val="22"/>
              </w:rPr>
              <w:t>Maximum Annual Quantity (“MAQ”) is (a)  11,862,500 MMBtu, or (b) 16,425,000 MMBtu (Annual Take Percentage is 50 %)</w:t>
            </w:r>
          </w:p>
          <w:p>
            <w:pPr>
              <w:pStyle w:val="Normal"/>
              <w:ind w:end="324"/>
              <w:jc w:val="both"/>
              <w:rPr>
                <w:bCs/>
                <w:sz w:val="22"/>
              </w:rPr>
            </w:pPr>
            <w:r>
              <w:rPr>
                <w:bCs/>
                <w:sz w:val="22"/>
              </w:rPr>
            </w:r>
          </w:p>
          <w:p>
            <w:pPr>
              <w:pStyle w:val="NormalJustified"/>
              <w:ind w:hanging="2880" w:start="2880" w:end="324"/>
              <w:rPr/>
            </w:pPr>
            <w:r>
              <w:rPr>
                <w:bCs/>
                <w:sz w:val="22"/>
              </w:rPr>
              <w:t xml:space="preserve">Price:  </w:t>
            </w:r>
            <w:r>
              <w:rPr>
                <w:sz w:val="22"/>
                <w:lang w:val="en-GB"/>
              </w:rPr>
              <w:t>The</w:t>
            </w:r>
            <w:r>
              <w:rPr>
                <w:b/>
                <w:sz w:val="22"/>
                <w:lang w:val="en-GB"/>
              </w:rPr>
              <w:t xml:space="preserve"> </w:t>
            </w:r>
            <w:r>
              <w:rPr>
                <w:sz w:val="22"/>
                <w:lang w:val="en-GB"/>
              </w:rPr>
              <w:t>Buyer shall pay the Seller as follows:</w:t>
            </w:r>
          </w:p>
          <w:p>
            <w:pPr>
              <w:pStyle w:val="NormalJustified"/>
              <w:spacing w:before="240" w:after="0"/>
              <w:ind w:hanging="1080" w:start="1152" w:end="324"/>
              <w:rPr/>
            </w:pPr>
            <w:r>
              <w:rPr>
                <w:sz w:val="22"/>
                <w:lang w:val="en-GB"/>
              </w:rPr>
            </w:r>
            <m:oMath xmlns:m="http://schemas.openxmlformats.org/officeDocument/2006/math">
              <m:sSub>
                <m:e>
                  <m:r>
                    <m:rPr>
                      <m:lit/>
                      <m:nor/>
                    </m:rPr>
                    <m:t xml:space="preserve">TGC</m:t>
                  </m:r>
                </m:e>
                <m:sub>
                  <m:r>
                    <m:rPr>
                      <m:lit/>
                      <m:nor/>
                    </m:rPr>
                    <m:t xml:space="preserve">US</m:t>
                  </m:r>
                  <m:r>
                    <m:t xml:space="preserve">$</m:t>
                  </m:r>
                </m:sub>
              </m:sSub>
              <m:r>
                <m:t xml:space="preserve">=</m:t>
              </m:r>
              <m:nary>
                <m:naryPr>
                  <m:chr m:val="∑"/>
                </m:naryPr>
                <m:sub>
                  <m:r>
                    <m:t xml:space="preserve">d</m:t>
                  </m:r>
                  <m:r>
                    <m:t xml:space="preserve">=</m:t>
                  </m:r>
                  <m:r>
                    <m:t xml:space="preserve">1</m:t>
                  </m:r>
                </m:sub>
                <m:sup>
                  <m:r>
                    <m:t xml:space="preserve">d</m:t>
                  </m:r>
                  <m:r>
                    <m:t xml:space="preserve">=</m:t>
                  </m:r>
                  <m:r>
                    <m:t xml:space="preserve">m</m:t>
                  </m:r>
                </m:sup>
                <m:e>
                  <m:d>
                    <m:dPr>
                      <m:begChr m:val="{"/>
                      <m:endChr m:val="}"/>
                    </m:dPr>
                    <m:e>
                      <m:r>
                        <m:t xml:space="preserve">[</m:t>
                      </m:r>
                      <m:sSub>
                        <m:e>
                          <m:r>
                            <m:t xml:space="preserve">Q</m:t>
                          </m:r>
                        </m:e>
                        <m:sub>
                          <m:r>
                            <m:t xml:space="preserve">d</m:t>
                          </m:r>
                        </m:sub>
                      </m:sSub>
                      <m:r>
                        <m:t xml:space="preserve">∗</m:t>
                      </m:r>
                      <m:r>
                        <m:t xml:space="preserve">(</m:t>
                      </m:r>
                      <m:sSub>
                        <m:e>
                          <m:r>
                            <m:rPr>
                              <m:lit/>
                              <m:nor/>
                            </m:rPr>
                            <m:t xml:space="preserve">INDEX</m:t>
                          </m:r>
                        </m:e>
                        <m:sub>
                          <m:r>
                            <m:t xml:space="preserve">d</m:t>
                          </m:r>
                        </m:sub>
                      </m:sSub>
                      <m:r>
                        <m:t xml:space="preserve">+</m:t>
                      </m:r>
                      <m:r>
                        <m:t xml:space="preserve">K</m:t>
                      </m:r>
                      <m:r>
                        <m:t xml:space="preserve">)</m:t>
                      </m:r>
                      <m:r>
                        <m:t xml:space="preserve">]</m:t>
                      </m:r>
                      <m:r>
                        <m:t xml:space="preserve">+</m:t>
                      </m:r>
                      <m:r>
                        <m:t xml:space="preserve">[</m:t>
                      </m:r>
                      <m:sSub>
                        <m:e>
                          <m:r>
                            <m:t xml:space="preserve">Q</m:t>
                          </m:r>
                        </m:e>
                        <m:sub>
                          <m:r>
                            <m:t xml:space="preserve">m</m:t>
                          </m:r>
                        </m:sub>
                      </m:sSub>
                      <m:r>
                        <m:t xml:space="preserve">∗</m:t>
                      </m:r>
                      <m:r>
                        <m:t xml:space="preserve">0</m:t>
                      </m:r>
                      <m:r>
                        <m:rPr>
                          <m:lit/>
                          <m:nor/>
                        </m:rPr>
                        <m:t xml:space="preserve">.</m:t>
                      </m:r>
                      <m:r>
                        <m:rPr>
                          <m:lit/>
                          <m:nor/>
                        </m:rPr>
                        <m:t xml:space="preserve">075</m:t>
                      </m:r>
                      <m:r>
                        <m:t xml:space="preserve">]</m:t>
                      </m:r>
                    </m:e>
                    <m:e/>
                  </m:d>
                </m:e>
              </m:nary>
            </m:oMath>
            <w:r>
              <w:rPr>
                <w:rFonts w:eastAsia="Times New Roman"/>
                <w:sz w:val="22"/>
                <w:lang w:val="en-GB"/>
              </w:rPr>
              <w:t xml:space="preserve">   </w:t>
            </w:r>
            <w:r>
              <w:rPr>
                <w:sz w:val="22"/>
                <w:lang w:val="en-GB"/>
              </w:rPr>
              <w:tab/>
              <w:t xml:space="preserve"> </w:t>
            </w:r>
          </w:p>
          <w:p>
            <w:pPr>
              <w:pStyle w:val="NormalJustified"/>
              <w:spacing w:before="240" w:after="0"/>
              <w:ind w:start="1152" w:end="324"/>
              <w:rPr>
                <w:sz w:val="22"/>
                <w:lang w:val="en-GB"/>
              </w:rPr>
            </w:pPr>
            <w:r>
              <w:rPr>
                <w:sz w:val="22"/>
                <w:lang w:val="en-GB"/>
              </w:rPr>
              <w:t>where:</w:t>
            </w:r>
          </w:p>
          <w:p>
            <w:pPr>
              <w:pStyle w:val="NormalJustified"/>
              <w:tabs>
                <w:tab w:val="clear" w:pos="720"/>
                <w:tab w:val="left" w:pos="1890" w:leader="none"/>
                <w:tab w:val="left" w:pos="2430" w:leader="none"/>
              </w:tabs>
              <w:spacing w:before="240" w:after="0"/>
              <w:ind w:start="1152" w:end="324"/>
              <w:rPr/>
            </w:pPr>
            <w:r>
              <w:rPr>
                <w:b/>
                <w:sz w:val="22"/>
                <w:lang w:val="en-GB"/>
              </w:rPr>
              <w:t>TGC</w:t>
            </w:r>
            <w:r>
              <w:rPr>
                <w:b/>
                <w:sz w:val="22"/>
                <w:vertAlign w:val="subscript"/>
                <w:lang w:val="en-GB"/>
              </w:rPr>
              <w:t xml:space="preserve">US$   </w:t>
            </w:r>
            <w:r>
              <w:rPr>
                <w:sz w:val="22"/>
                <w:lang w:val="en-GB"/>
              </w:rPr>
              <w:t>=</w:t>
              <w:tab/>
              <w:t>Total monthly Gas cost paid in US$</w:t>
            </w:r>
          </w:p>
          <w:p>
            <w:pPr>
              <w:pStyle w:val="NormalJustified"/>
              <w:tabs>
                <w:tab w:val="clear" w:pos="720"/>
                <w:tab w:val="left" w:pos="1890" w:leader="none"/>
                <w:tab w:val="left" w:pos="2430" w:leader="none"/>
              </w:tabs>
              <w:spacing w:before="120" w:after="0"/>
              <w:ind w:start="1152" w:end="324"/>
              <w:rPr/>
            </w:pPr>
            <w:r>
              <w:rPr>
                <w:b/>
                <w:i/>
                <w:iCs/>
                <w:sz w:val="22"/>
                <w:lang w:val="en-GB"/>
              </w:rPr>
              <w:t>Q</w:t>
            </w:r>
            <w:r>
              <w:rPr>
                <w:b/>
                <w:i/>
                <w:iCs/>
                <w:sz w:val="22"/>
                <w:vertAlign w:val="subscript"/>
                <w:lang w:val="en-GB"/>
              </w:rPr>
              <w:t>d</w:t>
            </w:r>
            <w:r>
              <w:rPr>
                <w:b/>
                <w:sz w:val="22"/>
                <w:lang w:val="en-GB"/>
              </w:rPr>
              <w:t xml:space="preserve">  =</w:t>
              <w:tab/>
            </w:r>
            <w:r>
              <w:rPr>
                <w:bCs/>
                <w:sz w:val="22"/>
                <w:lang w:val="en-GB"/>
              </w:rPr>
              <w:t>Daily nominated volume up to (a) 65</w:t>
            </w:r>
            <w:r>
              <w:rPr>
                <w:sz w:val="22"/>
                <w:lang w:val="en-GB"/>
              </w:rPr>
              <w:t>,000 MMBtu/day, or (b) 90,000 MMBtu/day</w:t>
            </w:r>
          </w:p>
          <w:p>
            <w:pPr>
              <w:pStyle w:val="NormalJustified"/>
              <w:tabs>
                <w:tab w:val="clear" w:pos="720"/>
                <w:tab w:val="left" w:pos="1890" w:leader="none"/>
                <w:tab w:val="left" w:pos="2430" w:leader="none"/>
              </w:tabs>
              <w:spacing w:before="120" w:after="0"/>
              <w:ind w:start="1152" w:end="324"/>
              <w:rPr/>
            </w:pPr>
            <w:r>
              <w:rPr>
                <w:b/>
                <w:i/>
                <w:iCs/>
                <w:sz w:val="22"/>
                <w:lang w:val="en-GB"/>
              </w:rPr>
              <w:t>Q</w:t>
            </w:r>
            <w:r>
              <w:rPr>
                <w:b/>
                <w:i/>
                <w:iCs/>
                <w:sz w:val="22"/>
                <w:vertAlign w:val="subscript"/>
                <w:lang w:val="en-GB"/>
              </w:rPr>
              <w:t>m</w:t>
            </w:r>
            <w:r>
              <w:rPr>
                <w:b/>
                <w:sz w:val="22"/>
                <w:lang w:val="en-GB"/>
              </w:rPr>
              <w:t xml:space="preserve">  =</w:t>
              <w:tab/>
              <w:t xml:space="preserve">(a) </w:t>
            </w:r>
            <w:r>
              <w:rPr>
                <w:bCs/>
                <w:sz w:val="22"/>
                <w:lang w:val="en-GB"/>
              </w:rPr>
              <w:t>65</w:t>
            </w:r>
            <w:r>
              <w:rPr>
                <w:sz w:val="22"/>
                <w:lang w:val="en-GB"/>
              </w:rPr>
              <w:t>,000 MMBtu per day, or (b) 90,000 MMBtu/day</w:t>
            </w:r>
          </w:p>
          <w:p>
            <w:pPr>
              <w:pStyle w:val="NormalJustified"/>
              <w:tabs>
                <w:tab w:val="clear" w:pos="720"/>
                <w:tab w:val="left" w:pos="1890" w:leader="none"/>
                <w:tab w:val="left" w:pos="2430" w:leader="none"/>
              </w:tabs>
              <w:spacing w:before="120" w:after="0"/>
              <w:ind w:start="1152" w:end="324"/>
              <w:rPr/>
            </w:pPr>
            <w:r>
              <w:rPr>
                <w:b/>
                <w:sz w:val="22"/>
                <w:lang w:val="en-GB"/>
              </w:rPr>
              <w:t>INDEX</w:t>
            </w:r>
            <w:r>
              <w:rPr>
                <w:b/>
                <w:sz w:val="22"/>
                <w:vertAlign w:val="subscript"/>
                <w:lang w:val="en-GB"/>
              </w:rPr>
              <w:t xml:space="preserve">d   </w:t>
            </w:r>
            <w:r>
              <w:rPr>
                <w:sz w:val="22"/>
                <w:lang w:val="en-GB"/>
              </w:rPr>
              <w:t>=</w:t>
              <w:tab/>
              <w:t>The daily posted index for Tennessee under the heading South-Corpus Christi, as reported in Gas Daily, under the Daily Price Survey, for the corresponding Flow Date(s), Midpoint column, expressed in US$/MMBtu</w:t>
            </w:r>
          </w:p>
          <w:p>
            <w:pPr>
              <w:pStyle w:val="NormalJustified"/>
              <w:tabs>
                <w:tab w:val="clear" w:pos="720"/>
                <w:tab w:val="left" w:pos="1890" w:leader="none"/>
                <w:tab w:val="left" w:pos="2430" w:leader="none"/>
              </w:tabs>
              <w:spacing w:before="120" w:after="0"/>
              <w:ind w:start="1152" w:end="324"/>
              <w:rPr/>
            </w:pPr>
            <w:r>
              <w:rPr>
                <w:b/>
                <w:sz w:val="22"/>
                <w:lang w:val="en-GB"/>
              </w:rPr>
              <w:t xml:space="preserve">K </w:t>
            </w:r>
            <w:r>
              <w:rPr>
                <w:sz w:val="22"/>
                <w:lang w:val="en-GB"/>
              </w:rPr>
              <w:t>= The K adder to the INDEX</w:t>
            </w:r>
            <w:r>
              <w:rPr>
                <w:sz w:val="22"/>
                <w:vertAlign w:val="subscript"/>
                <w:lang w:val="en-GB"/>
              </w:rPr>
              <w:t>d</w:t>
            </w:r>
            <w:r>
              <w:rPr>
                <w:sz w:val="22"/>
                <w:lang w:val="en-GB"/>
              </w:rPr>
              <w:t>, which is fixed per MMBtu amount added to the daily INDEX, and equal to $0.0325 US$/MMBtu</w:t>
            </w:r>
            <w:r>
              <w:rPr>
                <w:bCs/>
                <w:sz w:val="22"/>
                <w:lang w:val="en-GB"/>
              </w:rPr>
              <w:t>.</w:t>
            </w:r>
          </w:p>
          <w:p>
            <w:pPr>
              <w:pStyle w:val="NormalJustified"/>
              <w:tabs>
                <w:tab w:val="clear" w:pos="720"/>
                <w:tab w:val="left" w:pos="4320" w:leader="none"/>
              </w:tabs>
              <w:ind w:start="1152" w:end="324"/>
              <w:rPr>
                <w:bCs/>
                <w:color w:val="000000"/>
                <w:sz w:val="22"/>
                <w:lang w:val="en-GB"/>
              </w:rPr>
            </w:pPr>
            <w:r>
              <w:rPr>
                <w:bCs/>
                <w:color w:val="000000"/>
                <w:sz w:val="22"/>
                <w:lang w:val="en-GB"/>
              </w:rPr>
            </w:r>
          </w:p>
          <w:p>
            <w:pPr>
              <w:pStyle w:val="Normal"/>
              <w:ind w:start="1152" w:end="324"/>
              <w:jc w:val="both"/>
              <w:rPr>
                <w:sz w:val="22"/>
                <w:lang w:val="en-GB"/>
              </w:rPr>
            </w:pPr>
            <w:r>
              <w:rPr>
                <w:sz w:val="22"/>
                <w:lang w:val="en-GB"/>
              </w:rPr>
              <w:t xml:space="preserve">The Gas Price specified herein is inclusive of all costs, </w:t>
            </w:r>
          </w:p>
          <w:p>
            <w:pPr>
              <w:pStyle w:val="Normal"/>
              <w:ind w:start="1152" w:end="324"/>
              <w:jc w:val="both"/>
              <w:rPr>
                <w:sz w:val="22"/>
              </w:rPr>
            </w:pPr>
            <w:r>
              <w:rPr>
                <w:sz w:val="22"/>
                <w:lang w:val="en-GB"/>
              </w:rPr>
              <w:t xml:space="preserve">taxes and fees to the Point of Sale.  Buyer will be responsible for any and all costs, including transportation and pipeline fuel retention, taxes and fees due at and after the Point of Sale.  </w:t>
            </w:r>
          </w:p>
          <w:p>
            <w:pPr>
              <w:pStyle w:val="NormalJustified"/>
              <w:tabs>
                <w:tab w:val="clear" w:pos="720"/>
                <w:tab w:val="left" w:pos="2880" w:leader="none"/>
                <w:tab w:val="left" w:pos="4320" w:leader="none"/>
              </w:tabs>
              <w:ind w:start="1152" w:end="324"/>
              <w:rPr/>
            </w:pPr>
            <w:r>
              <w:rPr>
                <w:sz w:val="22"/>
                <w:lang w:val="en-GB"/>
              </w:rPr>
              <w:br/>
              <w:t>Amounts due under the agreement will be invoiced by the 10</w:t>
            </w:r>
            <w:r>
              <w:rPr>
                <w:sz w:val="22"/>
                <w:vertAlign w:val="superscript"/>
                <w:lang w:val="en-GB"/>
              </w:rPr>
              <w:t>th</w:t>
            </w:r>
            <w:r>
              <w:rPr>
                <w:sz w:val="22"/>
                <w:lang w:val="en-GB"/>
              </w:rPr>
              <w:t xml:space="preserve"> day of the month following the month of service and will be payable by the 25</w:t>
            </w:r>
            <w:r>
              <w:rPr>
                <w:sz w:val="22"/>
                <w:vertAlign w:val="superscript"/>
                <w:lang w:val="en-GB"/>
              </w:rPr>
              <w:t>th</w:t>
            </w:r>
            <w:r>
              <w:rPr>
                <w:sz w:val="22"/>
                <w:lang w:val="en-GB"/>
              </w:rPr>
              <w:t xml:space="preserve"> day of the month in which such invoice was received.  Should the due date fall on a day that is not a business day in the United States, such payment will be due on the next business day.</w:t>
            </w:r>
          </w:p>
          <w:p>
            <w:pPr>
              <w:pStyle w:val="Normal"/>
              <w:ind w:end="324"/>
              <w:jc w:val="both"/>
              <w:rPr>
                <w:bCs/>
                <w:sz w:val="22"/>
                <w:lang w:val="en-GB"/>
              </w:rPr>
            </w:pPr>
            <w:r>
              <w:rPr>
                <w:bCs/>
                <w:sz w:val="22"/>
                <w:lang w:val="en-GB"/>
              </w:rPr>
            </w:r>
          </w:p>
          <w:p>
            <w:pPr>
              <w:pStyle w:val="Normal"/>
              <w:ind w:end="324"/>
              <w:jc w:val="both"/>
              <w:rPr>
                <w:bCs/>
                <w:sz w:val="22"/>
              </w:rPr>
            </w:pPr>
            <w:r>
              <w:rPr>
                <w:bCs/>
                <w:sz w:val="22"/>
              </w:rPr>
              <w:t>Repurchase Option for Minimum Annual Quantity:</w:t>
            </w:r>
          </w:p>
          <w:p>
            <w:pPr>
              <w:pStyle w:val="Normal"/>
              <w:ind w:end="324"/>
              <w:jc w:val="both"/>
              <w:rPr>
                <w:bCs/>
                <w:sz w:val="22"/>
              </w:rPr>
            </w:pPr>
            <w:r>
              <w:rPr>
                <w:bCs/>
                <w:sz w:val="22"/>
              </w:rPr>
            </w:r>
          </w:p>
          <w:p>
            <w:pPr>
              <w:pStyle w:val="Normal"/>
              <w:ind w:end="324"/>
              <w:jc w:val="both"/>
              <w:rPr>
                <w:bCs/>
                <w:sz w:val="22"/>
              </w:rPr>
            </w:pPr>
            <w:r>
              <w:rPr>
                <w:bCs/>
                <w:sz w:val="22"/>
              </w:rPr>
              <w:tab/>
              <w:t xml:space="preserve">Repurchase location is Tennessee Gas Pipeline’s (TGP’s) </w:t>
              <w:tab/>
              <w:t>Texas 100 Leg Pool No. 020826.</w:t>
            </w:r>
          </w:p>
          <w:p>
            <w:pPr>
              <w:pStyle w:val="Normal"/>
              <w:ind w:end="324"/>
              <w:jc w:val="both"/>
              <w:rPr>
                <w:bCs/>
                <w:sz w:val="22"/>
              </w:rPr>
            </w:pPr>
            <w:r>
              <w:rPr>
                <w:bCs/>
                <w:sz w:val="22"/>
              </w:rPr>
            </w:r>
          </w:p>
          <w:p>
            <w:pPr>
              <w:pStyle w:val="Normal"/>
              <w:ind w:end="324"/>
              <w:jc w:val="both"/>
              <w:rPr>
                <w:bCs/>
                <w:sz w:val="22"/>
              </w:rPr>
            </w:pPr>
            <w:r>
              <w:rPr>
                <w:bCs/>
                <w:sz w:val="22"/>
              </w:rPr>
              <w:tab/>
              <w:t xml:space="preserve">Price:  Daily posted price for Tennessee under the heading </w:t>
              <w:tab/>
              <w:t xml:space="preserve">South-Corpus Christi, as reported in Gas Daily, under the </w:t>
              <w:tab/>
              <w:t xml:space="preserve">Daily price Survey, for the corresponding Flow Date(s), </w:t>
              <w:tab/>
              <w:t>midpoint column less $0.005 $US/MMBtu.</w:t>
            </w:r>
          </w:p>
          <w:p>
            <w:pPr>
              <w:pStyle w:val="NormalJustified"/>
              <w:tabs>
                <w:tab w:val="clear" w:pos="720"/>
                <w:tab w:val="left" w:pos="2880" w:leader="none"/>
                <w:tab w:val="left" w:pos="4320" w:leader="none"/>
              </w:tabs>
              <w:ind w:hanging="2880" w:start="2880" w:end="324"/>
              <w:rPr>
                <w:sz w:val="22"/>
                <w:lang w:val="en-GB"/>
              </w:rPr>
            </w:pPr>
            <w:r>
              <w:rPr>
                <w:sz w:val="22"/>
                <w:lang w:val="en-GB"/>
              </w:rPr>
              <w:tab/>
            </w:r>
          </w:p>
          <w:p>
            <w:pPr>
              <w:pStyle w:val="Normal"/>
              <w:ind w:end="324"/>
              <w:jc w:val="both"/>
              <w:rPr>
                <w:bCs/>
                <w:sz w:val="22"/>
                <w:lang w:val="en-GB"/>
              </w:rPr>
            </w:pPr>
            <w:r>
              <w:rPr>
                <w:bCs/>
                <w:sz w:val="22"/>
                <w:lang w:val="en-GB"/>
              </w:rPr>
            </w:r>
          </w:p>
          <w:p>
            <w:pPr>
              <w:pStyle w:val="Normal"/>
              <w:ind w:end="324"/>
              <w:jc w:val="both"/>
              <w:rPr>
                <w:bCs/>
                <w:sz w:val="22"/>
              </w:rPr>
            </w:pPr>
            <w:r>
              <w:rPr>
                <w:bCs/>
                <w:sz w:val="22"/>
              </w:rPr>
            </w:r>
          </w:p>
          <w:p>
            <w:pPr>
              <w:pStyle w:val="Normal"/>
              <w:ind w:end="324"/>
              <w:jc w:val="both"/>
              <w:rPr>
                <w:bCs/>
                <w:sz w:val="22"/>
              </w:rPr>
            </w:pPr>
            <w:r>
              <w:rPr>
                <w:bCs/>
                <w:sz w:val="22"/>
              </w:rPr>
            </w:r>
          </w:p>
          <w:p>
            <w:pPr>
              <w:pStyle w:val="Normal"/>
              <w:ind w:end="324"/>
              <w:jc w:val="both"/>
              <w:rPr>
                <w:bCs/>
                <w:sz w:val="22"/>
                <w:u w:val="single"/>
              </w:rPr>
            </w:pPr>
            <w:r>
              <w:rPr>
                <w:bCs/>
                <w:sz w:val="22"/>
                <w:u w:val="single"/>
              </w:rPr>
              <w:t>OPTION IV (a) &amp; (b):</w:t>
            </w:r>
          </w:p>
          <w:p>
            <w:pPr>
              <w:pStyle w:val="Normal"/>
              <w:ind w:end="324"/>
              <w:jc w:val="both"/>
              <w:rPr>
                <w:bCs/>
                <w:sz w:val="22"/>
                <w:u w:val="single"/>
              </w:rPr>
            </w:pPr>
            <w:r>
              <w:rPr>
                <w:bCs/>
                <w:sz w:val="22"/>
                <w:u w:val="single"/>
              </w:rPr>
            </w:r>
          </w:p>
          <w:p>
            <w:pPr>
              <w:pStyle w:val="Normal"/>
              <w:ind w:end="324"/>
              <w:jc w:val="both"/>
              <w:rPr>
                <w:bCs/>
                <w:sz w:val="22"/>
                <w:u w:val="single"/>
              </w:rPr>
            </w:pPr>
            <w:r>
              <w:rPr>
                <w:bCs/>
                <w:sz w:val="22"/>
                <w:u w:val="single"/>
              </w:rPr>
              <w:t>A)  Commercial Operations Period (Ten Years -- April 1, 2005 through March 31, 2015)</w:t>
            </w:r>
          </w:p>
          <w:p>
            <w:pPr>
              <w:pStyle w:val="Normal"/>
              <w:ind w:end="324"/>
              <w:jc w:val="both"/>
              <w:rPr>
                <w:bCs/>
                <w:sz w:val="22"/>
                <w:u w:val="single"/>
              </w:rPr>
            </w:pPr>
            <w:r>
              <w:rPr>
                <w:bCs/>
                <w:sz w:val="22"/>
                <w:u w:val="single"/>
              </w:rPr>
            </w:r>
          </w:p>
          <w:p>
            <w:pPr>
              <w:pStyle w:val="Normal"/>
              <w:ind w:end="324"/>
              <w:jc w:val="both"/>
              <w:rPr>
                <w:bCs/>
                <w:sz w:val="22"/>
              </w:rPr>
            </w:pPr>
            <w:r>
              <w:rPr>
                <w:bCs/>
                <w:sz w:val="22"/>
              </w:rPr>
              <w:t>Firm Sale to Buyer</w:t>
            </w:r>
          </w:p>
          <w:p>
            <w:pPr>
              <w:pStyle w:val="Normal"/>
              <w:ind w:end="324"/>
              <w:jc w:val="both"/>
              <w:rPr>
                <w:bCs/>
                <w:sz w:val="22"/>
              </w:rPr>
            </w:pPr>
            <w:r>
              <w:rPr>
                <w:bCs/>
                <w:sz w:val="22"/>
              </w:rPr>
            </w:r>
          </w:p>
          <w:p>
            <w:pPr>
              <w:pStyle w:val="Normal"/>
              <w:ind w:end="324"/>
              <w:jc w:val="both"/>
              <w:rPr>
                <w:bCs/>
                <w:sz w:val="22"/>
              </w:rPr>
            </w:pPr>
            <w:r>
              <w:rPr>
                <w:bCs/>
                <w:sz w:val="22"/>
              </w:rPr>
              <w:t xml:space="preserve">MinDQ of 0 MMBtu/day </w:t>
            </w:r>
          </w:p>
          <w:p>
            <w:pPr>
              <w:pStyle w:val="Normal"/>
              <w:ind w:end="324"/>
              <w:jc w:val="both"/>
              <w:rPr>
                <w:bCs/>
                <w:sz w:val="22"/>
              </w:rPr>
            </w:pPr>
            <w:r>
              <w:rPr>
                <w:bCs/>
                <w:sz w:val="22"/>
              </w:rPr>
            </w:r>
          </w:p>
          <w:p>
            <w:pPr>
              <w:pStyle w:val="Normal"/>
              <w:ind w:end="324"/>
              <w:jc w:val="both"/>
              <w:rPr>
                <w:bCs/>
                <w:sz w:val="22"/>
              </w:rPr>
            </w:pPr>
            <w:r>
              <w:rPr>
                <w:bCs/>
                <w:sz w:val="22"/>
              </w:rPr>
              <w:t>Maximum Daily Quantity (“MDQ”) is (a) 65,000 MMBtu/day, or (b) 90,000 MMBtu/day</w:t>
            </w:r>
          </w:p>
          <w:p>
            <w:pPr>
              <w:pStyle w:val="Normal"/>
              <w:ind w:end="324"/>
              <w:jc w:val="both"/>
              <w:rPr>
                <w:bCs/>
                <w:sz w:val="22"/>
              </w:rPr>
            </w:pPr>
            <w:r>
              <w:rPr>
                <w:bCs/>
                <w:sz w:val="22"/>
              </w:rPr>
            </w:r>
          </w:p>
          <w:p>
            <w:pPr>
              <w:pStyle w:val="Normal"/>
              <w:ind w:end="324"/>
              <w:jc w:val="both"/>
              <w:rPr>
                <w:bCs/>
                <w:sz w:val="22"/>
              </w:rPr>
            </w:pPr>
            <w:r>
              <w:rPr>
                <w:bCs/>
                <w:sz w:val="22"/>
              </w:rPr>
              <w:t>Maximum Annual Quantity (“MAQ”) is (a)  5,931,250 MMBtu, or (b) 8,212,500 MMBtu (Annual Take Percentage is 25 %)</w:t>
            </w:r>
          </w:p>
          <w:p>
            <w:pPr>
              <w:pStyle w:val="Normal"/>
              <w:ind w:end="324"/>
              <w:jc w:val="both"/>
              <w:rPr>
                <w:bCs/>
                <w:sz w:val="22"/>
              </w:rPr>
            </w:pPr>
            <w:r>
              <w:rPr>
                <w:bCs/>
                <w:sz w:val="22"/>
              </w:rPr>
            </w:r>
          </w:p>
          <w:p>
            <w:pPr>
              <w:pStyle w:val="NormalJustified"/>
              <w:ind w:hanging="2880" w:start="2880" w:end="324"/>
              <w:rPr/>
            </w:pPr>
            <w:r>
              <w:rPr>
                <w:bCs/>
                <w:sz w:val="22"/>
              </w:rPr>
              <w:t xml:space="preserve">Price:  </w:t>
            </w:r>
            <w:r>
              <w:rPr>
                <w:sz w:val="22"/>
                <w:lang w:val="en-GB"/>
              </w:rPr>
              <w:t>The</w:t>
            </w:r>
            <w:r>
              <w:rPr>
                <w:b/>
                <w:sz w:val="22"/>
                <w:lang w:val="en-GB"/>
              </w:rPr>
              <w:t xml:space="preserve"> </w:t>
            </w:r>
            <w:r>
              <w:rPr>
                <w:sz w:val="22"/>
                <w:lang w:val="en-GB"/>
              </w:rPr>
              <w:t>Buyer shall pay the Seller as follows:</w:t>
            </w:r>
          </w:p>
          <w:p>
            <w:pPr>
              <w:pStyle w:val="NormalJustified"/>
              <w:spacing w:before="240" w:after="0"/>
              <w:ind w:hanging="1080" w:start="1152" w:end="324"/>
              <w:rPr/>
            </w:pPr>
            <w:r>
              <w:rPr>
                <w:sz w:val="22"/>
                <w:lang w:val="en-GB"/>
              </w:rPr>
            </w:r>
            <m:oMath xmlns:m="http://schemas.openxmlformats.org/officeDocument/2006/math">
              <m:sSub>
                <m:e>
                  <m:r>
                    <m:rPr>
                      <m:lit/>
                      <m:nor/>
                    </m:rPr>
                    <m:t xml:space="preserve">TGC</m:t>
                  </m:r>
                </m:e>
                <m:sub>
                  <m:r>
                    <m:rPr>
                      <m:lit/>
                      <m:nor/>
                    </m:rPr>
                    <m:t xml:space="preserve">US</m:t>
                  </m:r>
                  <m:r>
                    <m:t xml:space="preserve">$</m:t>
                  </m:r>
                </m:sub>
              </m:sSub>
              <m:r>
                <m:t xml:space="preserve">=</m:t>
              </m:r>
              <m:nary>
                <m:naryPr>
                  <m:chr m:val="∑"/>
                </m:naryPr>
                <m:sub>
                  <m:r>
                    <m:t xml:space="preserve">d</m:t>
                  </m:r>
                  <m:r>
                    <m:t xml:space="preserve">=</m:t>
                  </m:r>
                  <m:r>
                    <m:t xml:space="preserve">1</m:t>
                  </m:r>
                </m:sub>
                <m:sup>
                  <m:r>
                    <m:t xml:space="preserve">d</m:t>
                  </m:r>
                  <m:r>
                    <m:t xml:space="preserve">=</m:t>
                  </m:r>
                  <m:r>
                    <m:t xml:space="preserve">m</m:t>
                  </m:r>
                </m:sup>
                <m:e>
                  <m:d>
                    <m:dPr>
                      <m:begChr m:val="{"/>
                      <m:endChr m:val="}"/>
                    </m:dPr>
                    <m:e>
                      <m:r>
                        <m:t xml:space="preserve">[</m:t>
                      </m:r>
                      <m:sSub>
                        <m:e>
                          <m:r>
                            <m:t xml:space="preserve">Q</m:t>
                          </m:r>
                        </m:e>
                        <m:sub>
                          <m:r>
                            <m:t xml:space="preserve">d</m:t>
                          </m:r>
                        </m:sub>
                      </m:sSub>
                      <m:r>
                        <m:t xml:space="preserve">∗</m:t>
                      </m:r>
                      <m:r>
                        <m:t xml:space="preserve">(</m:t>
                      </m:r>
                      <m:r>
                        <m:rPr>
                          <m:lit/>
                          <m:nor/>
                        </m:rPr>
                        <m:t xml:space="preserve">INDEX</m:t>
                      </m:r>
                    </m:e>
                    <m:e/>
                    <m:e>
                      <m:sSub>
                        <m:e>
                          <m:eqArr>
                            <m:e>
                              <m:r>
                                <m:t xml:space="preserve">d</m:t>
                              </m:r>
                            </m:e>
                          </m:eqArr>
                        </m:e>
                        <m:sub/>
                      </m:sSub>
                    </m:e>
                    <m:e/>
                    <m:e>
                      <m:r>
                        <m:t xml:space="preserve">+</m:t>
                      </m:r>
                      <m:r>
                        <m:t xml:space="preserve">K</m:t>
                      </m:r>
                      <m:r>
                        <m:t xml:space="preserve">)</m:t>
                      </m:r>
                      <m:r>
                        <m:t xml:space="preserve">]</m:t>
                      </m:r>
                      <m:r>
                        <m:t xml:space="preserve">+</m:t>
                      </m:r>
                      <m:r>
                        <m:t xml:space="preserve">[</m:t>
                      </m:r>
                      <m:sSub>
                        <m:e>
                          <m:r>
                            <m:t xml:space="preserve">Q</m:t>
                          </m:r>
                        </m:e>
                        <m:sub>
                          <m:r>
                            <m:t xml:space="preserve">m</m:t>
                          </m:r>
                        </m:sub>
                      </m:sSub>
                      <m:r>
                        <m:t xml:space="preserve">∗</m:t>
                      </m:r>
                      <m:r>
                        <m:t xml:space="preserve">0</m:t>
                      </m:r>
                      <m:r>
                        <m:rPr>
                          <m:lit/>
                          <m:nor/>
                        </m:rPr>
                        <m:t xml:space="preserve">.</m:t>
                      </m:r>
                      <m:r>
                        <m:rPr>
                          <m:lit/>
                          <m:nor/>
                        </m:rPr>
                        <m:t xml:space="preserve">08</m:t>
                      </m:r>
                      <m:r>
                        <m:t xml:space="preserve">]</m:t>
                      </m:r>
                    </m:e>
                    <m:e/>
                  </m:d>
                </m:e>
              </m:nary>
            </m:oMath>
            <w:r>
              <w:rPr>
                <w:rFonts w:eastAsia="Times New Roman"/>
                <w:sz w:val="22"/>
                <w:lang w:val="en-GB"/>
              </w:rPr>
              <w:t xml:space="preserve">   </w:t>
            </w:r>
            <w:r>
              <w:rPr>
                <w:sz w:val="22"/>
                <w:lang w:val="en-GB"/>
              </w:rPr>
              <w:tab/>
              <w:t xml:space="preserve"> </w:t>
            </w:r>
          </w:p>
          <w:p>
            <w:pPr>
              <w:pStyle w:val="NormalJustified"/>
              <w:spacing w:before="240" w:after="0"/>
              <w:ind w:start="1152" w:end="324"/>
              <w:rPr>
                <w:sz w:val="22"/>
                <w:lang w:val="en-GB"/>
              </w:rPr>
            </w:pPr>
            <w:r>
              <w:rPr>
                <w:sz w:val="22"/>
                <w:lang w:val="en-GB"/>
              </w:rPr>
              <w:t>where:</w:t>
            </w:r>
          </w:p>
          <w:p>
            <w:pPr>
              <w:pStyle w:val="NormalJustified"/>
              <w:tabs>
                <w:tab w:val="clear" w:pos="720"/>
                <w:tab w:val="left" w:pos="1890" w:leader="none"/>
                <w:tab w:val="left" w:pos="2430" w:leader="none"/>
              </w:tabs>
              <w:spacing w:before="240" w:after="0"/>
              <w:ind w:start="1152" w:end="324"/>
              <w:rPr/>
            </w:pPr>
            <w:r>
              <w:rPr>
                <w:b/>
                <w:sz w:val="22"/>
                <w:lang w:val="en-GB"/>
              </w:rPr>
              <w:t>TGC</w:t>
            </w:r>
            <w:r>
              <w:rPr>
                <w:b/>
                <w:sz w:val="22"/>
                <w:vertAlign w:val="subscript"/>
                <w:lang w:val="en-GB"/>
              </w:rPr>
              <w:t xml:space="preserve">US$   </w:t>
            </w:r>
            <w:r>
              <w:rPr>
                <w:sz w:val="22"/>
                <w:lang w:val="en-GB"/>
              </w:rPr>
              <w:t>=</w:t>
              <w:tab/>
              <w:t>Total monthly Gas cost paid in US$</w:t>
            </w:r>
          </w:p>
          <w:p>
            <w:pPr>
              <w:pStyle w:val="NormalJustified"/>
              <w:tabs>
                <w:tab w:val="clear" w:pos="720"/>
                <w:tab w:val="left" w:pos="1890" w:leader="none"/>
                <w:tab w:val="left" w:pos="2430" w:leader="none"/>
              </w:tabs>
              <w:spacing w:before="120" w:after="0"/>
              <w:ind w:start="1152" w:end="324"/>
              <w:rPr/>
            </w:pPr>
            <w:r>
              <w:rPr>
                <w:b/>
                <w:i/>
                <w:iCs/>
                <w:sz w:val="22"/>
                <w:lang w:val="en-GB"/>
              </w:rPr>
              <w:t>Q</w:t>
            </w:r>
            <w:r>
              <w:rPr>
                <w:b/>
                <w:i/>
                <w:iCs/>
                <w:sz w:val="22"/>
                <w:vertAlign w:val="subscript"/>
                <w:lang w:val="en-GB"/>
              </w:rPr>
              <w:t>d</w:t>
            </w:r>
            <w:r>
              <w:rPr>
                <w:b/>
                <w:sz w:val="22"/>
                <w:lang w:val="en-GB"/>
              </w:rPr>
              <w:t xml:space="preserve">  =</w:t>
              <w:tab/>
            </w:r>
            <w:r>
              <w:rPr>
                <w:bCs/>
                <w:sz w:val="22"/>
                <w:lang w:val="en-GB"/>
              </w:rPr>
              <w:t>Daily nominated volume up to (a) 65</w:t>
            </w:r>
            <w:r>
              <w:rPr>
                <w:sz w:val="22"/>
                <w:lang w:val="en-GB"/>
              </w:rPr>
              <w:t>,000 MMBtu/day, or (b) 90,000 MMBtu/day</w:t>
            </w:r>
          </w:p>
          <w:p>
            <w:pPr>
              <w:pStyle w:val="NormalJustified"/>
              <w:tabs>
                <w:tab w:val="clear" w:pos="720"/>
                <w:tab w:val="left" w:pos="1890" w:leader="none"/>
                <w:tab w:val="left" w:pos="2430" w:leader="none"/>
              </w:tabs>
              <w:spacing w:before="120" w:after="0"/>
              <w:ind w:start="1152" w:end="324"/>
              <w:rPr/>
            </w:pPr>
            <w:r>
              <w:rPr>
                <w:b/>
                <w:i/>
                <w:iCs/>
                <w:sz w:val="22"/>
                <w:lang w:val="en-GB"/>
              </w:rPr>
              <w:t>Q</w:t>
            </w:r>
            <w:r>
              <w:rPr>
                <w:b/>
                <w:i/>
                <w:iCs/>
                <w:sz w:val="22"/>
                <w:vertAlign w:val="subscript"/>
                <w:lang w:val="en-GB"/>
              </w:rPr>
              <w:t>m</w:t>
            </w:r>
            <w:r>
              <w:rPr>
                <w:b/>
                <w:sz w:val="22"/>
                <w:lang w:val="en-GB"/>
              </w:rPr>
              <w:t xml:space="preserve">  =</w:t>
              <w:tab/>
              <w:t xml:space="preserve">(a) </w:t>
            </w:r>
            <w:r>
              <w:rPr>
                <w:bCs/>
                <w:sz w:val="22"/>
                <w:lang w:val="en-GB"/>
              </w:rPr>
              <w:t>65</w:t>
            </w:r>
            <w:r>
              <w:rPr>
                <w:sz w:val="22"/>
                <w:lang w:val="en-GB"/>
              </w:rPr>
              <w:t>,000 MMBtu per day, or (b) 90,000 MMBtu/day</w:t>
            </w:r>
          </w:p>
          <w:p>
            <w:pPr>
              <w:pStyle w:val="NormalJustified"/>
              <w:tabs>
                <w:tab w:val="clear" w:pos="720"/>
                <w:tab w:val="left" w:pos="1890" w:leader="none"/>
                <w:tab w:val="left" w:pos="2430" w:leader="none"/>
              </w:tabs>
              <w:spacing w:before="120" w:after="0"/>
              <w:ind w:start="1152" w:end="324"/>
              <w:rPr/>
            </w:pPr>
            <w:r>
              <w:rPr>
                <w:b/>
                <w:sz w:val="22"/>
                <w:lang w:val="en-GB"/>
              </w:rPr>
              <w:t>INDEX</w:t>
            </w:r>
            <w:r>
              <w:rPr>
                <w:b/>
                <w:sz w:val="22"/>
                <w:vertAlign w:val="subscript"/>
                <w:lang w:val="en-GB"/>
              </w:rPr>
              <w:t xml:space="preserve">d   </w:t>
            </w:r>
            <w:r>
              <w:rPr>
                <w:sz w:val="22"/>
                <w:lang w:val="en-GB"/>
              </w:rPr>
              <w:t>=</w:t>
              <w:tab/>
              <w:t>The daily posted index for Tennessee under the heading South-Corpus Christi, as reported in Gas Daily, under the Daily Price Survey, for the corresponding Flow Date(s), Midpoint column, expressed in US$/MMBtu</w:t>
            </w:r>
          </w:p>
          <w:p>
            <w:pPr>
              <w:pStyle w:val="NormalJustified"/>
              <w:tabs>
                <w:tab w:val="clear" w:pos="720"/>
                <w:tab w:val="left" w:pos="1890" w:leader="none"/>
                <w:tab w:val="left" w:pos="2430" w:leader="none"/>
              </w:tabs>
              <w:spacing w:before="120" w:after="0"/>
              <w:ind w:start="1152" w:end="324"/>
              <w:rPr/>
            </w:pPr>
            <w:r>
              <w:rPr>
                <w:b/>
                <w:sz w:val="22"/>
                <w:lang w:val="en-GB"/>
              </w:rPr>
              <w:t xml:space="preserve">K </w:t>
            </w:r>
            <w:r>
              <w:rPr>
                <w:sz w:val="22"/>
                <w:lang w:val="en-GB"/>
              </w:rPr>
              <w:t>= The K adder to the INDEX</w:t>
            </w:r>
            <w:r>
              <w:rPr>
                <w:sz w:val="22"/>
                <w:vertAlign w:val="subscript"/>
                <w:lang w:val="en-GB"/>
              </w:rPr>
              <w:t>d</w:t>
            </w:r>
            <w:r>
              <w:rPr>
                <w:sz w:val="22"/>
                <w:lang w:val="en-GB"/>
              </w:rPr>
              <w:t>, which is fixed per MMBtu amount added to the daily INDEX, and equal to $0.0325 US$/MMBtu</w:t>
            </w:r>
            <w:r>
              <w:rPr>
                <w:bCs/>
                <w:sz w:val="22"/>
                <w:lang w:val="en-GB"/>
              </w:rPr>
              <w:t>.</w:t>
            </w:r>
          </w:p>
          <w:p>
            <w:pPr>
              <w:pStyle w:val="NormalJustified"/>
              <w:tabs>
                <w:tab w:val="clear" w:pos="720"/>
                <w:tab w:val="left" w:pos="4320" w:leader="none"/>
              </w:tabs>
              <w:ind w:start="1152" w:end="324"/>
              <w:rPr>
                <w:bCs/>
                <w:color w:val="000000"/>
                <w:sz w:val="22"/>
                <w:lang w:val="en-GB"/>
              </w:rPr>
            </w:pPr>
            <w:r>
              <w:rPr>
                <w:bCs/>
                <w:color w:val="000000"/>
                <w:sz w:val="22"/>
                <w:lang w:val="en-GB"/>
              </w:rPr>
            </w:r>
          </w:p>
          <w:p>
            <w:pPr>
              <w:pStyle w:val="Normal"/>
              <w:ind w:start="1152" w:end="324"/>
              <w:jc w:val="both"/>
              <w:rPr>
                <w:sz w:val="22"/>
                <w:lang w:val="en-GB"/>
              </w:rPr>
            </w:pPr>
            <w:r>
              <w:rPr>
                <w:sz w:val="22"/>
                <w:lang w:val="en-GB"/>
              </w:rPr>
              <w:t xml:space="preserve">The Gas Price specified herein is inclusive of all costs, </w:t>
            </w:r>
          </w:p>
          <w:p>
            <w:pPr>
              <w:pStyle w:val="Normal"/>
              <w:ind w:start="1152" w:end="324"/>
              <w:jc w:val="both"/>
              <w:rPr>
                <w:sz w:val="22"/>
              </w:rPr>
            </w:pPr>
            <w:r>
              <w:rPr>
                <w:sz w:val="22"/>
                <w:lang w:val="en-GB"/>
              </w:rPr>
              <w:t xml:space="preserve">taxes and fees to the Point of Sale.  Buyer will be responsible for any and all costs, including transportation and pipeline fuel retention, taxes and fees due at and after the Point of Sale.  </w:t>
            </w:r>
          </w:p>
          <w:p>
            <w:pPr>
              <w:pStyle w:val="NormalJustified"/>
              <w:tabs>
                <w:tab w:val="clear" w:pos="720"/>
                <w:tab w:val="left" w:pos="2880" w:leader="none"/>
                <w:tab w:val="left" w:pos="4320" w:leader="none"/>
              </w:tabs>
              <w:ind w:start="1152" w:end="324"/>
              <w:rPr/>
            </w:pPr>
            <w:r>
              <w:rPr>
                <w:sz w:val="22"/>
                <w:lang w:val="en-GB"/>
              </w:rPr>
              <w:br/>
              <w:t>Amounts due under the agreement will be invoiced by the 10</w:t>
            </w:r>
            <w:r>
              <w:rPr>
                <w:sz w:val="22"/>
                <w:vertAlign w:val="superscript"/>
                <w:lang w:val="en-GB"/>
              </w:rPr>
              <w:t>th</w:t>
            </w:r>
            <w:r>
              <w:rPr>
                <w:sz w:val="22"/>
                <w:lang w:val="en-GB"/>
              </w:rPr>
              <w:t xml:space="preserve"> day of the month following the month of service and will be payable by the 25</w:t>
            </w:r>
            <w:r>
              <w:rPr>
                <w:sz w:val="22"/>
                <w:vertAlign w:val="superscript"/>
                <w:lang w:val="en-GB"/>
              </w:rPr>
              <w:t>th</w:t>
            </w:r>
            <w:r>
              <w:rPr>
                <w:sz w:val="22"/>
                <w:lang w:val="en-GB"/>
              </w:rPr>
              <w:t xml:space="preserve"> day of the month in which such invoice was received.  Should the due date fall on a day that is not a business day in the United States, such payment will be due on the next business day.</w:t>
            </w:r>
          </w:p>
          <w:p>
            <w:pPr>
              <w:pStyle w:val="Normal"/>
              <w:ind w:end="324"/>
              <w:jc w:val="both"/>
              <w:rPr>
                <w:bCs/>
                <w:sz w:val="22"/>
                <w:lang w:val="en-GB"/>
              </w:rPr>
            </w:pPr>
            <w:r>
              <w:rPr>
                <w:bCs/>
                <w:sz w:val="22"/>
                <w:lang w:val="en-GB"/>
              </w:rPr>
            </w:r>
          </w:p>
          <w:p>
            <w:pPr>
              <w:pStyle w:val="Normal"/>
              <w:ind w:end="324"/>
              <w:jc w:val="both"/>
              <w:rPr>
                <w:bCs/>
                <w:sz w:val="22"/>
              </w:rPr>
            </w:pPr>
            <w:r>
              <w:rPr>
                <w:bCs/>
                <w:sz w:val="22"/>
              </w:rPr>
              <w:t>Repurchase Option for Minimum Annual Quantity:</w:t>
            </w:r>
          </w:p>
          <w:p>
            <w:pPr>
              <w:pStyle w:val="Normal"/>
              <w:ind w:end="324"/>
              <w:jc w:val="both"/>
              <w:rPr>
                <w:bCs/>
                <w:sz w:val="22"/>
              </w:rPr>
            </w:pPr>
            <w:r>
              <w:rPr>
                <w:bCs/>
                <w:sz w:val="22"/>
              </w:rPr>
            </w:r>
          </w:p>
          <w:p>
            <w:pPr>
              <w:pStyle w:val="Normal"/>
              <w:ind w:end="324"/>
              <w:jc w:val="both"/>
              <w:rPr>
                <w:bCs/>
                <w:sz w:val="22"/>
              </w:rPr>
            </w:pPr>
            <w:r>
              <w:rPr>
                <w:bCs/>
                <w:sz w:val="22"/>
              </w:rPr>
              <w:tab/>
              <w:t xml:space="preserve">Repurchase location is Tennessee Gas Pipeline’s (TGP’s) </w:t>
              <w:tab/>
              <w:t>Texas 100 Leg Pool No. 020826.</w:t>
            </w:r>
          </w:p>
          <w:p>
            <w:pPr>
              <w:pStyle w:val="Normal"/>
              <w:ind w:end="324"/>
              <w:jc w:val="both"/>
              <w:rPr>
                <w:bCs/>
                <w:sz w:val="22"/>
              </w:rPr>
            </w:pPr>
            <w:r>
              <w:rPr>
                <w:bCs/>
                <w:sz w:val="22"/>
              </w:rPr>
            </w:r>
          </w:p>
          <w:p>
            <w:pPr>
              <w:pStyle w:val="Normal"/>
              <w:ind w:end="324"/>
              <w:jc w:val="both"/>
              <w:rPr>
                <w:bCs/>
                <w:sz w:val="22"/>
              </w:rPr>
            </w:pPr>
            <w:r>
              <w:rPr>
                <w:bCs/>
                <w:sz w:val="22"/>
              </w:rPr>
              <w:tab/>
              <w:t xml:space="preserve">Price:  Daily posted price for Tennessee under the heading </w:t>
              <w:tab/>
              <w:t xml:space="preserve">South-Corpus Christi, as reported in Gas Daily, under the </w:t>
              <w:tab/>
              <w:t xml:space="preserve">Daily price Survey, for the corresponding Flow Date(s), </w:t>
              <w:tab/>
              <w:t>midpoint column less $0.005 $US/MMBtu.</w:t>
            </w:r>
          </w:p>
          <w:p>
            <w:pPr>
              <w:pStyle w:val="NormalJustified"/>
              <w:tabs>
                <w:tab w:val="clear" w:pos="720"/>
                <w:tab w:val="left" w:pos="2880" w:leader="none"/>
                <w:tab w:val="left" w:pos="4320" w:leader="none"/>
              </w:tabs>
              <w:ind w:hanging="2880" w:start="2880" w:end="324"/>
              <w:rPr>
                <w:sz w:val="22"/>
                <w:lang w:val="en-GB"/>
              </w:rPr>
            </w:pPr>
            <w:r>
              <w:rPr>
                <w:sz w:val="22"/>
                <w:lang w:val="en-GB"/>
              </w:rPr>
              <w:tab/>
            </w:r>
          </w:p>
          <w:p>
            <w:pPr>
              <w:pStyle w:val="Normal"/>
              <w:ind w:end="324"/>
              <w:jc w:val="both"/>
              <w:rPr>
                <w:bCs/>
                <w:sz w:val="22"/>
                <w:lang w:val="en-GB"/>
              </w:rPr>
            </w:pPr>
            <w:r>
              <w:rPr>
                <w:bCs/>
                <w:sz w:val="22"/>
                <w:lang w:val="en-GB"/>
              </w:rPr>
            </w:r>
          </w:p>
          <w:p>
            <w:pPr>
              <w:pStyle w:val="Normal"/>
              <w:ind w:end="324"/>
              <w:jc w:val="both"/>
              <w:rPr>
                <w:bCs/>
                <w:sz w:val="22"/>
                <w:u w:val="single"/>
              </w:rPr>
            </w:pPr>
            <w:r>
              <w:rPr>
                <w:bCs/>
                <w:sz w:val="22"/>
                <w:u w:val="single"/>
              </w:rPr>
            </w:r>
          </w:p>
          <w:p>
            <w:pPr>
              <w:pStyle w:val="Normal"/>
              <w:ind w:end="324"/>
              <w:jc w:val="both"/>
              <w:rPr>
                <w:bCs/>
                <w:sz w:val="22"/>
                <w:u w:val="single"/>
              </w:rPr>
            </w:pPr>
            <w:r>
              <w:rPr>
                <w:bCs/>
                <w:sz w:val="22"/>
                <w:u w:val="single"/>
              </w:rPr>
            </w:r>
          </w:p>
          <w:p>
            <w:pPr>
              <w:pStyle w:val="Normal"/>
              <w:ind w:end="324"/>
              <w:jc w:val="both"/>
              <w:rPr>
                <w:bCs/>
                <w:sz w:val="22"/>
                <w:u w:val="single"/>
              </w:rPr>
            </w:pPr>
            <w:r>
              <w:rPr>
                <w:bCs/>
                <w:sz w:val="22"/>
                <w:u w:val="single"/>
              </w:rPr>
            </w:r>
          </w:p>
          <w:p>
            <w:pPr>
              <w:pStyle w:val="Normal"/>
              <w:ind w:end="324"/>
              <w:jc w:val="both"/>
              <w:rPr>
                <w:bCs/>
                <w:sz w:val="22"/>
                <w:u w:val="single"/>
              </w:rPr>
            </w:pPr>
            <w:r>
              <w:rPr>
                <w:bCs/>
                <w:sz w:val="22"/>
                <w:u w:val="single"/>
              </w:rPr>
              <w:t>OPTION V (a) &amp; (b):</w:t>
            </w:r>
          </w:p>
          <w:p>
            <w:pPr>
              <w:pStyle w:val="Normal"/>
              <w:ind w:end="324"/>
              <w:jc w:val="both"/>
              <w:rPr>
                <w:bCs/>
                <w:sz w:val="22"/>
                <w:u w:val="single"/>
              </w:rPr>
            </w:pPr>
            <w:r>
              <w:rPr>
                <w:bCs/>
                <w:sz w:val="22"/>
                <w:u w:val="single"/>
              </w:rPr>
            </w:r>
          </w:p>
          <w:p>
            <w:pPr>
              <w:pStyle w:val="Normal"/>
              <w:ind w:end="324"/>
              <w:jc w:val="both"/>
              <w:rPr>
                <w:bCs/>
                <w:sz w:val="22"/>
                <w:u w:val="single"/>
              </w:rPr>
            </w:pPr>
            <w:r>
              <w:rPr>
                <w:bCs/>
                <w:sz w:val="22"/>
                <w:u w:val="single"/>
              </w:rPr>
              <w:t>A)  Commercial Operations Period (Fifteen Years -- April 1, 2005 through March 31, 2020)</w:t>
            </w:r>
          </w:p>
          <w:p>
            <w:pPr>
              <w:pStyle w:val="Normal"/>
              <w:ind w:end="324"/>
              <w:jc w:val="both"/>
              <w:rPr>
                <w:bCs/>
                <w:sz w:val="22"/>
                <w:u w:val="single"/>
              </w:rPr>
            </w:pPr>
            <w:r>
              <w:rPr>
                <w:bCs/>
                <w:sz w:val="22"/>
                <w:u w:val="single"/>
              </w:rPr>
            </w:r>
          </w:p>
          <w:p>
            <w:pPr>
              <w:pStyle w:val="Normal"/>
              <w:ind w:end="324"/>
              <w:jc w:val="both"/>
              <w:rPr>
                <w:bCs/>
                <w:sz w:val="22"/>
              </w:rPr>
            </w:pPr>
            <w:r>
              <w:rPr>
                <w:bCs/>
                <w:sz w:val="22"/>
              </w:rPr>
              <w:t>Firm Sale to Buyer</w:t>
            </w:r>
          </w:p>
          <w:p>
            <w:pPr>
              <w:pStyle w:val="Normal"/>
              <w:ind w:end="324"/>
              <w:jc w:val="both"/>
              <w:rPr>
                <w:bCs/>
                <w:sz w:val="22"/>
              </w:rPr>
            </w:pPr>
            <w:r>
              <w:rPr>
                <w:bCs/>
                <w:sz w:val="22"/>
              </w:rPr>
            </w:r>
          </w:p>
          <w:p>
            <w:pPr>
              <w:pStyle w:val="Normal"/>
              <w:ind w:end="324"/>
              <w:jc w:val="both"/>
              <w:rPr>
                <w:bCs/>
                <w:sz w:val="22"/>
              </w:rPr>
            </w:pPr>
            <w:r>
              <w:rPr>
                <w:bCs/>
                <w:sz w:val="22"/>
              </w:rPr>
              <w:t xml:space="preserve">MinDQ of 0 MMBtu/day </w:t>
            </w:r>
          </w:p>
          <w:p>
            <w:pPr>
              <w:pStyle w:val="Normal"/>
              <w:ind w:end="324"/>
              <w:jc w:val="both"/>
              <w:rPr>
                <w:bCs/>
                <w:sz w:val="22"/>
              </w:rPr>
            </w:pPr>
            <w:r>
              <w:rPr>
                <w:bCs/>
                <w:sz w:val="22"/>
              </w:rPr>
            </w:r>
          </w:p>
          <w:p>
            <w:pPr>
              <w:pStyle w:val="Normal"/>
              <w:ind w:end="324"/>
              <w:jc w:val="both"/>
              <w:rPr>
                <w:bCs/>
                <w:sz w:val="22"/>
              </w:rPr>
            </w:pPr>
            <w:r>
              <w:rPr>
                <w:bCs/>
                <w:sz w:val="22"/>
              </w:rPr>
              <w:t>Maximum Daily Quantity (“MDQ”) is (a) 65,000 MMBtu/day, or (b) 90,000 MMBtu/day</w:t>
            </w:r>
          </w:p>
          <w:p>
            <w:pPr>
              <w:pStyle w:val="Normal"/>
              <w:ind w:end="324"/>
              <w:jc w:val="both"/>
              <w:rPr>
                <w:bCs/>
                <w:sz w:val="22"/>
              </w:rPr>
            </w:pPr>
            <w:r>
              <w:rPr>
                <w:bCs/>
                <w:sz w:val="22"/>
              </w:rPr>
            </w:r>
          </w:p>
          <w:p>
            <w:pPr>
              <w:pStyle w:val="Normal"/>
              <w:ind w:end="324"/>
              <w:jc w:val="both"/>
              <w:rPr>
                <w:bCs/>
                <w:sz w:val="22"/>
              </w:rPr>
            </w:pPr>
            <w:r>
              <w:rPr>
                <w:bCs/>
                <w:sz w:val="22"/>
              </w:rPr>
              <w:t>Maximum Annual Quantity (“MAQ”) is (a)  15,421,250 MMBtu, or (b) 21,352,500 MMBtu (Annual Take Percentage is 65 %)</w:t>
            </w:r>
          </w:p>
          <w:p>
            <w:pPr>
              <w:pStyle w:val="Normal"/>
              <w:ind w:end="324"/>
              <w:jc w:val="both"/>
              <w:rPr>
                <w:bCs/>
                <w:sz w:val="22"/>
              </w:rPr>
            </w:pPr>
            <w:r>
              <w:rPr>
                <w:bCs/>
                <w:sz w:val="22"/>
              </w:rPr>
            </w:r>
          </w:p>
          <w:p>
            <w:pPr>
              <w:pStyle w:val="NormalJustified"/>
              <w:ind w:hanging="2880" w:start="2880" w:end="324"/>
              <w:rPr/>
            </w:pPr>
            <w:r>
              <w:rPr>
                <w:bCs/>
                <w:sz w:val="22"/>
              </w:rPr>
              <w:t xml:space="preserve">Price:  </w:t>
            </w:r>
            <w:r>
              <w:rPr>
                <w:sz w:val="22"/>
                <w:lang w:val="en-GB"/>
              </w:rPr>
              <w:t>The</w:t>
            </w:r>
            <w:r>
              <w:rPr>
                <w:b/>
                <w:sz w:val="22"/>
                <w:lang w:val="en-GB"/>
              </w:rPr>
              <w:t xml:space="preserve"> </w:t>
            </w:r>
            <w:r>
              <w:rPr>
                <w:sz w:val="22"/>
                <w:lang w:val="en-GB"/>
              </w:rPr>
              <w:t>Buyer shall pay the Seller as follows:</w:t>
            </w:r>
          </w:p>
          <w:p>
            <w:pPr>
              <w:pStyle w:val="NormalJustified"/>
              <w:spacing w:before="240" w:after="0"/>
              <w:ind w:hanging="1080" w:start="1152" w:end="324"/>
              <w:rPr/>
            </w:pPr>
            <w:r>
              <w:rPr>
                <w:sz w:val="22"/>
                <w:lang w:val="en-GB"/>
              </w:rPr>
            </w:r>
            <m:oMath xmlns:m="http://schemas.openxmlformats.org/officeDocument/2006/math">
              <m:sSub>
                <m:e>
                  <m:r>
                    <m:rPr>
                      <m:lit/>
                      <m:nor/>
                    </m:rPr>
                    <m:t xml:space="preserve">TGC</m:t>
                  </m:r>
                </m:e>
                <m:sub>
                  <m:r>
                    <m:rPr>
                      <m:lit/>
                      <m:nor/>
                    </m:rPr>
                    <m:t xml:space="preserve">US</m:t>
                  </m:r>
                  <m:r>
                    <m:t xml:space="preserve">$</m:t>
                  </m:r>
                </m:sub>
              </m:sSub>
              <m:r>
                <m:t xml:space="preserve">=</m:t>
              </m:r>
              <m:nary>
                <m:naryPr>
                  <m:chr m:val="∑"/>
                </m:naryPr>
                <m:sub>
                  <m:r>
                    <m:t xml:space="preserve">d</m:t>
                  </m:r>
                  <m:r>
                    <m:t xml:space="preserve">=</m:t>
                  </m:r>
                  <m:r>
                    <m:t xml:space="preserve">1</m:t>
                  </m:r>
                </m:sub>
                <m:sup>
                  <m:r>
                    <m:t xml:space="preserve">d</m:t>
                  </m:r>
                  <m:r>
                    <m:t xml:space="preserve">=</m:t>
                  </m:r>
                  <m:r>
                    <m:t xml:space="preserve">m</m:t>
                  </m:r>
                </m:sup>
                <m:e>
                  <m:d>
                    <m:dPr>
                      <m:begChr m:val="{"/>
                      <m:endChr m:val="}"/>
                    </m:dPr>
                    <m:e>
                      <m:r>
                        <m:t xml:space="preserve">[</m:t>
                      </m:r>
                      <m:sSub>
                        <m:e>
                          <m:r>
                            <m:t xml:space="preserve">Q</m:t>
                          </m:r>
                        </m:e>
                        <m:sub>
                          <m:r>
                            <m:t xml:space="preserve">d</m:t>
                          </m:r>
                        </m:sub>
                      </m:sSub>
                      <m:r>
                        <m:t xml:space="preserve">∗</m:t>
                      </m:r>
                      <m:r>
                        <m:t xml:space="preserve">(</m:t>
                      </m:r>
                      <m:r>
                        <m:rPr>
                          <m:lit/>
                          <m:nor/>
                        </m:rPr>
                        <m:t xml:space="preserve">INDEX</m:t>
                      </m:r>
                    </m:e>
                    <m:e/>
                    <m:e>
                      <m:sSub>
                        <m:e>
                          <m:eqArr>
                            <m:e>
                              <m:r>
                                <m:t xml:space="preserve">d</m:t>
                              </m:r>
                            </m:e>
                          </m:eqArr>
                        </m:e>
                        <m:sub/>
                      </m:sSub>
                    </m:e>
                    <m:e/>
                    <m:e>
                      <m:r>
                        <m:t xml:space="preserve">+</m:t>
                      </m:r>
                      <m:r>
                        <m:t xml:space="preserve">K</m:t>
                      </m:r>
                      <m:r>
                        <m:t xml:space="preserve">)</m:t>
                      </m:r>
                      <m:r>
                        <m:t xml:space="preserve">]</m:t>
                      </m:r>
                      <m:r>
                        <m:t xml:space="preserve">+</m:t>
                      </m:r>
                      <m:r>
                        <m:t xml:space="preserve">[</m:t>
                      </m:r>
                      <m:sSub>
                        <m:e>
                          <m:r>
                            <m:t xml:space="preserve">Q</m:t>
                          </m:r>
                        </m:e>
                        <m:sub>
                          <m:r>
                            <m:t xml:space="preserve">m</m:t>
                          </m:r>
                        </m:sub>
                      </m:sSub>
                      <m:r>
                        <m:t xml:space="preserve">∗</m:t>
                      </m:r>
                      <m:r>
                        <m:t xml:space="preserve">0</m:t>
                      </m:r>
                      <m:r>
                        <m:rPr>
                          <m:lit/>
                          <m:nor/>
                        </m:rPr>
                        <m:t xml:space="preserve">.</m:t>
                      </m:r>
                      <m:r>
                        <m:rPr>
                          <m:lit/>
                          <m:nor/>
                        </m:rPr>
                        <m:t xml:space="preserve">07</m:t>
                      </m:r>
                      <m:r>
                        <m:t xml:space="preserve">]</m:t>
                      </m:r>
                    </m:e>
                    <m:e/>
                  </m:d>
                </m:e>
              </m:nary>
            </m:oMath>
            <w:r>
              <w:rPr>
                <w:rFonts w:eastAsia="Times New Roman"/>
                <w:sz w:val="22"/>
                <w:lang w:val="en-GB"/>
              </w:rPr>
              <w:t xml:space="preserve">   </w:t>
            </w:r>
            <w:r>
              <w:rPr>
                <w:sz w:val="22"/>
                <w:lang w:val="en-GB"/>
              </w:rPr>
              <w:tab/>
              <w:t xml:space="preserve"> </w:t>
            </w:r>
          </w:p>
          <w:p>
            <w:pPr>
              <w:pStyle w:val="NormalJustified"/>
              <w:spacing w:before="240" w:after="0"/>
              <w:ind w:start="1152" w:end="324"/>
              <w:rPr>
                <w:sz w:val="22"/>
                <w:lang w:val="en-GB"/>
              </w:rPr>
            </w:pPr>
            <w:r>
              <w:rPr>
                <w:sz w:val="22"/>
                <w:lang w:val="en-GB"/>
              </w:rPr>
              <w:t>where:</w:t>
            </w:r>
          </w:p>
          <w:p>
            <w:pPr>
              <w:pStyle w:val="NormalJustified"/>
              <w:tabs>
                <w:tab w:val="clear" w:pos="720"/>
                <w:tab w:val="left" w:pos="1890" w:leader="none"/>
                <w:tab w:val="left" w:pos="2430" w:leader="none"/>
              </w:tabs>
              <w:spacing w:before="240" w:after="0"/>
              <w:ind w:start="1152" w:end="324"/>
              <w:rPr/>
            </w:pPr>
            <w:r>
              <w:rPr>
                <w:b/>
                <w:sz w:val="22"/>
                <w:lang w:val="en-GB"/>
              </w:rPr>
              <w:t>TGC</w:t>
            </w:r>
            <w:r>
              <w:rPr>
                <w:b/>
                <w:sz w:val="22"/>
                <w:vertAlign w:val="subscript"/>
                <w:lang w:val="en-GB"/>
              </w:rPr>
              <w:t xml:space="preserve">US$   </w:t>
            </w:r>
            <w:r>
              <w:rPr>
                <w:sz w:val="22"/>
                <w:lang w:val="en-GB"/>
              </w:rPr>
              <w:t>=</w:t>
              <w:tab/>
              <w:t>Total monthly Gas cost paid in US$</w:t>
            </w:r>
          </w:p>
          <w:p>
            <w:pPr>
              <w:pStyle w:val="NormalJustified"/>
              <w:tabs>
                <w:tab w:val="clear" w:pos="720"/>
                <w:tab w:val="left" w:pos="1890" w:leader="none"/>
                <w:tab w:val="left" w:pos="2430" w:leader="none"/>
              </w:tabs>
              <w:spacing w:before="120" w:after="0"/>
              <w:ind w:start="1152" w:end="324"/>
              <w:rPr/>
            </w:pPr>
            <w:r>
              <w:rPr>
                <w:b/>
                <w:i/>
                <w:iCs/>
                <w:sz w:val="22"/>
                <w:lang w:val="en-GB"/>
              </w:rPr>
              <w:t>Q</w:t>
            </w:r>
            <w:r>
              <w:rPr>
                <w:b/>
                <w:i/>
                <w:iCs/>
                <w:sz w:val="22"/>
                <w:vertAlign w:val="subscript"/>
                <w:lang w:val="en-GB"/>
              </w:rPr>
              <w:t>d</w:t>
            </w:r>
            <w:r>
              <w:rPr>
                <w:b/>
                <w:sz w:val="22"/>
                <w:lang w:val="en-GB"/>
              </w:rPr>
              <w:t xml:space="preserve">  =</w:t>
              <w:tab/>
            </w:r>
            <w:r>
              <w:rPr>
                <w:bCs/>
                <w:sz w:val="22"/>
                <w:lang w:val="en-GB"/>
              </w:rPr>
              <w:t>Daily nominated volume up to (a) 65</w:t>
            </w:r>
            <w:r>
              <w:rPr>
                <w:sz w:val="22"/>
                <w:lang w:val="en-GB"/>
              </w:rPr>
              <w:t>,000 MMBtu/day, or (b) 90,000 MMBtu/day</w:t>
            </w:r>
          </w:p>
          <w:p>
            <w:pPr>
              <w:pStyle w:val="NormalJustified"/>
              <w:tabs>
                <w:tab w:val="clear" w:pos="720"/>
                <w:tab w:val="left" w:pos="1890" w:leader="none"/>
                <w:tab w:val="left" w:pos="2430" w:leader="none"/>
              </w:tabs>
              <w:spacing w:before="120" w:after="0"/>
              <w:ind w:start="1152" w:end="324"/>
              <w:rPr/>
            </w:pPr>
            <w:r>
              <w:rPr>
                <w:b/>
                <w:i/>
                <w:iCs/>
                <w:sz w:val="22"/>
                <w:lang w:val="en-GB"/>
              </w:rPr>
              <w:t>Q</w:t>
            </w:r>
            <w:r>
              <w:rPr>
                <w:b/>
                <w:i/>
                <w:iCs/>
                <w:sz w:val="22"/>
                <w:vertAlign w:val="subscript"/>
                <w:lang w:val="en-GB"/>
              </w:rPr>
              <w:t>m</w:t>
            </w:r>
            <w:r>
              <w:rPr>
                <w:b/>
                <w:sz w:val="22"/>
                <w:lang w:val="en-GB"/>
              </w:rPr>
              <w:t xml:space="preserve">  =</w:t>
              <w:tab/>
              <w:t xml:space="preserve">(a) </w:t>
            </w:r>
            <w:r>
              <w:rPr>
                <w:bCs/>
                <w:sz w:val="22"/>
                <w:lang w:val="en-GB"/>
              </w:rPr>
              <w:t>65</w:t>
            </w:r>
            <w:r>
              <w:rPr>
                <w:sz w:val="22"/>
                <w:lang w:val="en-GB"/>
              </w:rPr>
              <w:t>,000 MMBtu per day, or (b) 90,000 MMBtu/day</w:t>
            </w:r>
          </w:p>
          <w:p>
            <w:pPr>
              <w:pStyle w:val="NormalJustified"/>
              <w:tabs>
                <w:tab w:val="clear" w:pos="720"/>
                <w:tab w:val="left" w:pos="1890" w:leader="none"/>
                <w:tab w:val="left" w:pos="2430" w:leader="none"/>
              </w:tabs>
              <w:spacing w:before="120" w:after="0"/>
              <w:ind w:start="1152" w:end="324"/>
              <w:rPr/>
            </w:pPr>
            <w:r>
              <w:rPr>
                <w:b/>
                <w:sz w:val="22"/>
                <w:lang w:val="en-GB"/>
              </w:rPr>
              <w:t>INDEX</w:t>
            </w:r>
            <w:r>
              <w:rPr>
                <w:b/>
                <w:sz w:val="22"/>
                <w:vertAlign w:val="subscript"/>
                <w:lang w:val="en-GB"/>
              </w:rPr>
              <w:t xml:space="preserve">d   </w:t>
            </w:r>
            <w:r>
              <w:rPr>
                <w:sz w:val="22"/>
                <w:lang w:val="en-GB"/>
              </w:rPr>
              <w:t>=</w:t>
              <w:tab/>
              <w:t>The daily posted index for Tennessee under the heading South-Corpus Christi, as reported in Gas Daily, under the Daily Price Survey, for the corresponding Flow Date(s), Midpoint column, expressed in US$/MMBtu</w:t>
            </w:r>
          </w:p>
          <w:p>
            <w:pPr>
              <w:pStyle w:val="NormalJustified"/>
              <w:tabs>
                <w:tab w:val="clear" w:pos="720"/>
                <w:tab w:val="left" w:pos="1890" w:leader="none"/>
                <w:tab w:val="left" w:pos="2430" w:leader="none"/>
              </w:tabs>
              <w:spacing w:before="120" w:after="0"/>
              <w:ind w:start="1152" w:end="324"/>
              <w:rPr/>
            </w:pPr>
            <w:r>
              <w:rPr>
                <w:b/>
                <w:sz w:val="22"/>
                <w:lang w:val="en-GB"/>
              </w:rPr>
              <w:t xml:space="preserve">K </w:t>
            </w:r>
            <w:r>
              <w:rPr>
                <w:sz w:val="22"/>
                <w:lang w:val="en-GB"/>
              </w:rPr>
              <w:t>= The K adder to the INDEX</w:t>
            </w:r>
            <w:r>
              <w:rPr>
                <w:sz w:val="22"/>
                <w:vertAlign w:val="subscript"/>
                <w:lang w:val="en-GB"/>
              </w:rPr>
              <w:t>d</w:t>
            </w:r>
            <w:r>
              <w:rPr>
                <w:sz w:val="22"/>
                <w:lang w:val="en-GB"/>
              </w:rPr>
              <w:t>, which is fixed per MMBtu amount added to the daily INDEX, and equal to $0.0350 US$/MMBtu</w:t>
            </w:r>
            <w:r>
              <w:rPr>
                <w:bCs/>
                <w:sz w:val="22"/>
                <w:lang w:val="en-GB"/>
              </w:rPr>
              <w:t>.</w:t>
            </w:r>
          </w:p>
          <w:p>
            <w:pPr>
              <w:pStyle w:val="NormalJustified"/>
              <w:tabs>
                <w:tab w:val="clear" w:pos="720"/>
                <w:tab w:val="left" w:pos="4320" w:leader="none"/>
              </w:tabs>
              <w:ind w:start="1152" w:end="324"/>
              <w:rPr>
                <w:bCs/>
                <w:color w:val="000000"/>
                <w:sz w:val="22"/>
                <w:lang w:val="en-GB"/>
              </w:rPr>
            </w:pPr>
            <w:r>
              <w:rPr>
                <w:bCs/>
                <w:color w:val="000000"/>
                <w:sz w:val="22"/>
                <w:lang w:val="en-GB"/>
              </w:rPr>
            </w:r>
          </w:p>
          <w:p>
            <w:pPr>
              <w:pStyle w:val="Normal"/>
              <w:ind w:start="1152" w:end="324"/>
              <w:jc w:val="both"/>
              <w:rPr>
                <w:sz w:val="22"/>
                <w:lang w:val="en-GB"/>
              </w:rPr>
            </w:pPr>
            <w:r>
              <w:rPr>
                <w:sz w:val="22"/>
                <w:lang w:val="en-GB"/>
              </w:rPr>
              <w:t xml:space="preserve">The Gas Price specified herein is inclusive of all costs, </w:t>
            </w:r>
          </w:p>
          <w:p>
            <w:pPr>
              <w:pStyle w:val="Normal"/>
              <w:ind w:start="1152" w:end="324"/>
              <w:jc w:val="both"/>
              <w:rPr>
                <w:sz w:val="22"/>
              </w:rPr>
            </w:pPr>
            <w:r>
              <w:rPr>
                <w:sz w:val="22"/>
                <w:lang w:val="en-GB"/>
              </w:rPr>
              <w:t xml:space="preserve">taxes and fees to the Point of Sale.  Buyer will be responsible for any and all costs, including transportation and pipeline fuel retention, taxes and fees due at and after the Point of Sale.  </w:t>
            </w:r>
          </w:p>
          <w:p>
            <w:pPr>
              <w:pStyle w:val="NormalJustified"/>
              <w:tabs>
                <w:tab w:val="clear" w:pos="720"/>
                <w:tab w:val="left" w:pos="2880" w:leader="none"/>
                <w:tab w:val="left" w:pos="4320" w:leader="none"/>
              </w:tabs>
              <w:ind w:start="1152" w:end="324"/>
              <w:rPr/>
            </w:pPr>
            <w:r>
              <w:rPr>
                <w:sz w:val="22"/>
                <w:lang w:val="en-GB"/>
              </w:rPr>
              <w:br/>
              <w:t>Amounts due under the agreement will be invoiced by the 10</w:t>
            </w:r>
            <w:r>
              <w:rPr>
                <w:sz w:val="22"/>
                <w:vertAlign w:val="superscript"/>
                <w:lang w:val="en-GB"/>
              </w:rPr>
              <w:t>th</w:t>
            </w:r>
            <w:r>
              <w:rPr>
                <w:sz w:val="22"/>
                <w:lang w:val="en-GB"/>
              </w:rPr>
              <w:t xml:space="preserve"> day of the month following the month of service and will be payable by the 25</w:t>
            </w:r>
            <w:r>
              <w:rPr>
                <w:sz w:val="22"/>
                <w:vertAlign w:val="superscript"/>
                <w:lang w:val="en-GB"/>
              </w:rPr>
              <w:t>th</w:t>
            </w:r>
            <w:r>
              <w:rPr>
                <w:sz w:val="22"/>
                <w:lang w:val="en-GB"/>
              </w:rPr>
              <w:t xml:space="preserve"> day of the month in which such invoice was received.  Should the due date fall on a day that is not a business day in the United States, such payment will be due on the next business day.</w:t>
            </w:r>
          </w:p>
          <w:p>
            <w:pPr>
              <w:pStyle w:val="Normal"/>
              <w:ind w:end="324"/>
              <w:jc w:val="both"/>
              <w:rPr>
                <w:bCs/>
                <w:sz w:val="22"/>
                <w:lang w:val="en-GB"/>
              </w:rPr>
            </w:pPr>
            <w:r>
              <w:rPr>
                <w:bCs/>
                <w:sz w:val="22"/>
                <w:lang w:val="en-GB"/>
              </w:rPr>
            </w:r>
          </w:p>
          <w:p>
            <w:pPr>
              <w:pStyle w:val="Normal"/>
              <w:ind w:end="324"/>
              <w:jc w:val="both"/>
              <w:rPr>
                <w:bCs/>
                <w:sz w:val="22"/>
              </w:rPr>
            </w:pPr>
            <w:r>
              <w:rPr>
                <w:bCs/>
                <w:sz w:val="22"/>
              </w:rPr>
              <w:t>Repurchase Option for Minimum Annual Quantity:</w:t>
            </w:r>
          </w:p>
          <w:p>
            <w:pPr>
              <w:pStyle w:val="Normal"/>
              <w:ind w:end="324"/>
              <w:jc w:val="both"/>
              <w:rPr>
                <w:bCs/>
                <w:sz w:val="22"/>
              </w:rPr>
            </w:pPr>
            <w:r>
              <w:rPr>
                <w:bCs/>
                <w:sz w:val="22"/>
              </w:rPr>
            </w:r>
          </w:p>
          <w:p>
            <w:pPr>
              <w:pStyle w:val="Normal"/>
              <w:ind w:end="324"/>
              <w:jc w:val="both"/>
              <w:rPr>
                <w:bCs/>
                <w:sz w:val="22"/>
              </w:rPr>
            </w:pPr>
            <w:r>
              <w:rPr>
                <w:bCs/>
                <w:sz w:val="22"/>
              </w:rPr>
              <w:tab/>
              <w:t xml:space="preserve">Repurchase location is Tennessee Gas Pipeline’s (TGP’s) </w:t>
              <w:tab/>
              <w:t>Texas 100 Leg Pool No. 020826.</w:t>
            </w:r>
          </w:p>
          <w:p>
            <w:pPr>
              <w:pStyle w:val="Normal"/>
              <w:ind w:end="324"/>
              <w:jc w:val="both"/>
              <w:rPr>
                <w:bCs/>
                <w:sz w:val="22"/>
              </w:rPr>
            </w:pPr>
            <w:r>
              <w:rPr>
                <w:bCs/>
                <w:sz w:val="22"/>
              </w:rPr>
            </w:r>
          </w:p>
          <w:p>
            <w:pPr>
              <w:pStyle w:val="Normal"/>
              <w:ind w:end="324"/>
              <w:jc w:val="both"/>
              <w:rPr>
                <w:bCs/>
                <w:sz w:val="22"/>
              </w:rPr>
            </w:pPr>
            <w:r>
              <w:rPr>
                <w:bCs/>
                <w:sz w:val="22"/>
              </w:rPr>
              <w:tab/>
              <w:t xml:space="preserve">Price:  Daily posted price for Tennessee under the heading </w:t>
              <w:tab/>
              <w:t xml:space="preserve">South-Corpus Christi, as reported in Gas Daily, under the </w:t>
              <w:tab/>
              <w:t xml:space="preserve">Daily price Survey, for the corresponding Flow Date(s), </w:t>
              <w:tab/>
              <w:t>midpoint column less $0.005 $US/MMBtu.</w:t>
            </w:r>
          </w:p>
          <w:p>
            <w:pPr>
              <w:pStyle w:val="NormalJustified"/>
              <w:tabs>
                <w:tab w:val="clear" w:pos="720"/>
                <w:tab w:val="left" w:pos="2880" w:leader="none"/>
                <w:tab w:val="left" w:pos="4320" w:leader="none"/>
              </w:tabs>
              <w:ind w:hanging="2880" w:start="2880" w:end="324"/>
              <w:rPr>
                <w:sz w:val="22"/>
                <w:lang w:val="en-GB"/>
              </w:rPr>
            </w:pPr>
            <w:r>
              <w:rPr>
                <w:sz w:val="22"/>
                <w:lang w:val="en-GB"/>
              </w:rPr>
              <w:tab/>
            </w:r>
          </w:p>
          <w:p>
            <w:pPr>
              <w:pStyle w:val="Normal"/>
              <w:ind w:end="324"/>
              <w:jc w:val="both"/>
              <w:rPr>
                <w:bCs/>
                <w:sz w:val="22"/>
                <w:lang w:val="en-GB"/>
              </w:rPr>
            </w:pPr>
            <w:r>
              <w:rPr>
                <w:bCs/>
                <w:sz w:val="22"/>
                <w:lang w:val="en-GB"/>
              </w:rPr>
            </w:r>
          </w:p>
          <w:p>
            <w:pPr>
              <w:pStyle w:val="Normal"/>
              <w:ind w:end="324"/>
              <w:jc w:val="both"/>
              <w:rPr>
                <w:bCs/>
                <w:sz w:val="22"/>
              </w:rPr>
            </w:pPr>
            <w:r>
              <w:rPr>
                <w:bCs/>
                <w:sz w:val="22"/>
              </w:rPr>
            </w:r>
          </w:p>
          <w:p>
            <w:pPr>
              <w:pStyle w:val="Normal"/>
              <w:ind w:end="324"/>
              <w:jc w:val="both"/>
              <w:rPr>
                <w:bCs/>
                <w:sz w:val="22"/>
              </w:rPr>
            </w:pPr>
            <w:r>
              <w:rPr>
                <w:bCs/>
                <w:sz w:val="22"/>
              </w:rPr>
            </w:r>
          </w:p>
        </w:tc>
      </w:tr>
      <w:tr>
        <w:trPr/>
        <w:tc>
          <w:tcPr>
            <w:tcW w:w="4248" w:type="dxa"/>
            <w:tcBorders/>
          </w:tcPr>
          <w:p>
            <w:pPr>
              <w:pStyle w:val="Normal"/>
              <w:ind w:end="324"/>
              <w:jc w:val="both"/>
              <w:rPr>
                <w:bCs/>
                <w:sz w:val="22"/>
              </w:rPr>
            </w:pPr>
            <w:r>
              <w:rPr>
                <w:bCs/>
                <w:sz w:val="22"/>
              </w:rPr>
              <w:t>Nominations:</w:t>
            </w:r>
          </w:p>
          <w:p>
            <w:pPr>
              <w:pStyle w:val="Normal"/>
              <w:ind w:end="324"/>
              <w:jc w:val="both"/>
              <w:rPr>
                <w:bCs/>
                <w:sz w:val="22"/>
              </w:rPr>
            </w:pPr>
            <w:r>
              <w:rPr>
                <w:bCs/>
                <w:sz w:val="22"/>
              </w:rPr>
            </w:r>
          </w:p>
        </w:tc>
        <w:tc>
          <w:tcPr>
            <w:tcW w:w="6660" w:type="dxa"/>
            <w:tcBorders/>
          </w:tcPr>
          <w:p>
            <w:pPr>
              <w:pStyle w:val="Normal"/>
              <w:ind w:end="324"/>
              <w:jc w:val="both"/>
              <w:rPr>
                <w:bCs/>
                <w:sz w:val="22"/>
              </w:rPr>
            </w:pPr>
            <w:r>
              <w:rPr>
                <w:bCs/>
                <w:sz w:val="22"/>
              </w:rPr>
              <w:t>Buyer will nominate firm daily quantities to Seller by 8:00 a.m. CST on the business day prior to each day when the gas is required to be delivered in accordance with GISB industry standards for Cycle I on-time nominations.</w:t>
            </w:r>
          </w:p>
          <w:p>
            <w:pPr>
              <w:pStyle w:val="Normal"/>
              <w:ind w:end="324"/>
              <w:jc w:val="both"/>
              <w:rPr>
                <w:bCs/>
                <w:sz w:val="22"/>
              </w:rPr>
            </w:pPr>
            <w:r>
              <w:rPr>
                <w:bCs/>
                <w:sz w:val="22"/>
              </w:rPr>
            </w:r>
          </w:p>
          <w:p>
            <w:pPr>
              <w:pStyle w:val="Normal"/>
              <w:ind w:end="324"/>
              <w:jc w:val="both"/>
              <w:rPr>
                <w:bCs/>
                <w:sz w:val="22"/>
              </w:rPr>
            </w:pPr>
            <w:r>
              <w:rPr>
                <w:bCs/>
                <w:sz w:val="22"/>
              </w:rPr>
            </w:r>
          </w:p>
        </w:tc>
      </w:tr>
    </w:tbl>
    <w:p>
      <w:pPr>
        <w:pStyle w:val="BodyText"/>
        <w:spacing w:before="120" w:after="120"/>
        <w:ind w:end="-36"/>
        <w:rPr>
          <w:rFonts w:ascii="Times New Roman" w:hAnsi="Times New Roman" w:cs="Times New Roman"/>
          <w:b/>
          <w:i/>
          <w:i/>
          <w:iCs/>
        </w:rPr>
      </w:pPr>
      <w:r>
        <w:rPr>
          <w:rFonts w:cs="Times New Roman" w:ascii="Times New Roman" w:hAnsi="Times New Roman"/>
          <w:b/>
          <w:i/>
          <w:iCs/>
        </w:rPr>
      </w:r>
    </w:p>
    <w:p>
      <w:pPr>
        <w:pStyle w:val="BodyText"/>
        <w:spacing w:before="120" w:after="120"/>
        <w:ind w:end="-36"/>
        <w:rPr>
          <w:rFonts w:ascii="Times New Roman" w:hAnsi="Times New Roman" w:cs="Times New Roman"/>
          <w:b/>
          <w:i/>
          <w:i/>
          <w:iCs/>
        </w:rPr>
      </w:pPr>
      <w:r>
        <w:rPr>
          <w:rFonts w:cs="Times New Roman" w:ascii="Times New Roman" w:hAnsi="Times New Roman"/>
          <w:b/>
          <w:i/>
          <w:iCs/>
        </w:rPr>
        <w:t>This is for discussion purposes and is not intended to be complete and all-inclusive of the terms of the related transaction.  This is not an offer or a commitment of Enron North America or any parent or affiliate of Enron North America.  The transaction described herein is subject to further review and approval of Enron North America and execution of definitive agreements containing all appropriate provisions, including those related to credit and limitation of damages.</w:t>
      </w:r>
    </w:p>
    <w:p>
      <w:pPr>
        <w:pStyle w:val="BodyText"/>
        <w:spacing w:before="120" w:after="120"/>
        <w:ind w:end="324"/>
        <w:rPr>
          <w:rFonts w:ascii="Times New Roman" w:hAnsi="Times New Roman" w:cs="Times New Roman"/>
          <w:b/>
          <w:i/>
          <w:i/>
          <w:iCs/>
        </w:rPr>
      </w:pPr>
      <w:r>
        <w:rPr>
          <w:rFonts w:cs="Times New Roman" w:ascii="Times New Roman" w:hAnsi="Times New Roman"/>
          <w:b/>
          <w:i/>
          <w:iCs/>
        </w:rPr>
      </w:r>
    </w:p>
    <w:p>
      <w:pPr>
        <w:pStyle w:val="BodyText"/>
        <w:spacing w:before="120" w:after="120"/>
        <w:ind w:end="324"/>
        <w:rPr>
          <w:rFonts w:ascii="Times New Roman" w:hAnsi="Times New Roman" w:cs="Times New Roman"/>
          <w:bCs/>
        </w:rPr>
      </w:pPr>
      <w:r>
        <w:rPr>
          <w:rFonts w:cs="Times New Roman" w:ascii="Times New Roman" w:hAnsi="Times New Roman"/>
          <w:bCs/>
        </w:rPr>
        <w:t>Sincerely,</w:t>
      </w:r>
    </w:p>
    <w:p>
      <w:pPr>
        <w:pStyle w:val="BodyText"/>
        <w:spacing w:before="120" w:after="120"/>
        <w:ind w:end="324"/>
        <w:rPr>
          <w:rFonts w:ascii="Times New Roman" w:hAnsi="Times New Roman" w:cs="Times New Roman"/>
          <w:bCs/>
        </w:rPr>
      </w:pPr>
      <w:r>
        <w:rPr>
          <w:rFonts w:cs="Times New Roman" w:ascii="Times New Roman" w:hAnsi="Times New Roman"/>
          <w:bCs/>
        </w:rPr>
      </w:r>
    </w:p>
    <w:p>
      <w:pPr>
        <w:pStyle w:val="BodyText"/>
        <w:spacing w:before="120" w:after="120"/>
        <w:ind w:end="324"/>
        <w:rPr>
          <w:rFonts w:ascii="Times New Roman" w:hAnsi="Times New Roman" w:cs="Times New Roman"/>
          <w:bCs/>
        </w:rPr>
      </w:pPr>
      <w:r>
        <w:rPr>
          <w:rFonts w:cs="Times New Roman" w:ascii="Times New Roman" w:hAnsi="Times New Roman"/>
          <w:bCs/>
        </w:rPr>
        <w:t>Ruth Concannon</w:t>
      </w:r>
    </w:p>
    <w:p>
      <w:pPr>
        <w:pStyle w:val="BodyText"/>
        <w:spacing w:before="120" w:after="120"/>
        <w:ind w:end="324"/>
        <w:rPr>
          <w:rFonts w:ascii="Times New Roman" w:hAnsi="Times New Roman" w:cs="Times New Roman"/>
          <w:bCs/>
        </w:rPr>
      </w:pPr>
      <w:r>
        <w:rPr>
          <w:rFonts w:cs="Times New Roman" w:ascii="Times New Roman" w:hAnsi="Times New Roman"/>
          <w:bCs/>
        </w:rPr>
        <w:t>Director, East Origination</w:t>
      </w:r>
    </w:p>
    <w:p>
      <w:pPr>
        <w:pStyle w:val="BodyText"/>
        <w:spacing w:before="120" w:after="120"/>
        <w:ind w:end="324"/>
        <w:rPr>
          <w:rFonts w:ascii="Times New Roman" w:hAnsi="Times New Roman" w:cs="Times New Roman"/>
          <w:bCs/>
        </w:rPr>
      </w:pPr>
      <w:r>
        <w:rPr>
          <w:rFonts w:cs="Times New Roman" w:ascii="Times New Roman" w:hAnsi="Times New Roman"/>
          <w:bCs/>
        </w:rPr>
        <w:t>(713) 853-1667</w:t>
      </w:r>
    </w:p>
    <w:sectPr>
      <w:headerReference w:type="default" r:id="rId2"/>
      <w:headerReference w:type="first" r:id="rId3"/>
      <w:footerReference w:type="default" r:id="rId4"/>
      <w:footerReference w:type="first" r:id="rId5"/>
      <w:type w:val="nextPage"/>
      <w:pgSz w:w="12240" w:h="15840"/>
      <w:pgMar w:left="1008" w:right="1008" w:gutter="0" w:header="720" w:top="1008"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r>
  </w:p>
  <w:p>
    <w:pPr>
      <w:pStyle w:val="Footer"/>
      <w:rPr>
        <w:rFonts w:ascii="Arial" w:hAnsi="Arial" w:cs="Arial"/>
        <w:sz w:val="14"/>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/mnt/main-storage/datasets/enron-docs/doc/RioBravo4ENEL2.doc</w:t>
    </w:r>
    <w:r>
      <w:rPr>
        <w:sz w:val="14"/>
        <w:rFonts w:cs="Arial" w:ascii="Arial" w:hAnsi="Arial"/>
      </w:rPr>
      <w:fldChar w:fldCharType="end"/>
    </w:r>
  </w:p>
  <w:p>
    <w:pPr>
      <w:pStyle w:val="Normal"/>
      <w:tabs>
        <w:tab w:val="clear" w:pos="720"/>
        <w:tab w:val="left" w:pos="4320" w:leader="none"/>
        <w:tab w:val="left" w:pos="8280" w:leader="none"/>
      </w:tabs>
      <w:jc w:val="both"/>
      <w:rPr>
        <w:rFonts w:ascii="Arial" w:hAnsi="Arial" w:cs="Arial"/>
        <w:sz w:val="14"/>
      </w:rPr>
    </w:pPr>
    <w:r>
      <w:rPr>
        <w:rFonts w:cs="Arial" w:ascii="Arial" w:hAnsi="Arial"/>
        <w:sz w:val="1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r>
  </w:p>
  <w:p>
    <w:pPr>
      <w:pStyle w:val="Footer"/>
      <w:rPr>
        <w:rFonts w:ascii="Arial" w:hAnsi="Arial" w:cs="Arial"/>
        <w:sz w:val="14"/>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/mnt/main-storage/datasets/enron-docs/doc/RioBravo4ENEL2.doc</w:t>
    </w:r>
    <w:r>
      <w:rPr>
        <w:sz w:val="14"/>
        <w:rFonts w:cs="Arial" w:ascii="Arial" w:hAnsi="Arial"/>
      </w:rPr>
      <w:fldChar w:fldCharType="end"/>
    </w:r>
  </w:p>
  <w:p>
    <w:pPr>
      <w:pStyle w:val="Footer"/>
      <w:rPr>
        <w:rFonts w:ascii="Arial" w:hAnsi="Arial" w:cs="Arial"/>
        <w:sz w:val="14"/>
      </w:rPr>
    </w:pPr>
    <w:r>
      <w:rPr>
        <w:rFonts w:cs="Arial" w:ascii="Arial" w:hAnsi="Arial"/>
        <w:sz w:val="1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22"/>
      </w:rPr>
    </w:pPr>
    <w:r>
      <w:rPr>
        <w:rFonts w:cs="Arial" w:ascii="Arial" w:hAnsi="Arial"/>
        <w:sz w:val="22"/>
      </w:rPr>
      <w:t>Vinson and Elkins</w:t>
    </w:r>
  </w:p>
  <w:p>
    <w:pPr>
      <w:pStyle w:val="Header"/>
      <w:rPr>
        <w:rFonts w:ascii="Arial" w:hAnsi="Arial" w:cs="Arial"/>
        <w:sz w:val="22"/>
      </w:rPr>
    </w:pPr>
    <w:r>
      <w:rPr>
        <w:rFonts w:cs="Arial" w:ascii="Arial" w:hAnsi="Arial"/>
        <w:sz w:val="22"/>
      </w:rPr>
      <w:t>November 19, 2001</w:t>
    </w:r>
  </w:p>
  <w:p>
    <w:pPr>
      <w:pStyle w:val="Header"/>
      <w:rPr>
        <w:rStyle w:val="PageNumber"/>
        <w:rFonts w:ascii="Arial" w:hAnsi="Arial" w:cs="Arial"/>
        <w:sz w:val="22"/>
      </w:rPr>
    </w:pPr>
    <w:r>
      <w:rPr>
        <w:rFonts w:cs="Arial" w:ascii="Arial" w:hAnsi="Arial"/>
        <w:sz w:val="22"/>
      </w:rPr>
      <w:t xml:space="preserve">Page </w:t>
    </w: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7</w:t>
    </w:r>
    <w:r>
      <w:rPr>
        <w:rStyle w:val="PageNumber"/>
        <w:sz w:val="22"/>
        <w:rFonts w:cs="Arial" w:ascii="Arial" w:hAnsi="Arial"/>
      </w:rPr>
      <w:fldChar w:fldCharType="end"/>
    </w:r>
  </w:p>
  <w:p>
    <w:pPr>
      <w:pStyle w:val="Header"/>
      <w:rPr>
        <w:rStyle w:val="PageNumber"/>
        <w:rFonts w:ascii="Arial" w:hAnsi="Arial" w:cs="Arial"/>
        <w:sz w:val="22"/>
      </w:rPr>
    </w:pPr>
    <w:r>
      <w:rPr/>
    </w:r>
  </w:p>
  <w:p>
    <w:pPr>
      <w:pStyle w:val="Header"/>
      <w:rPr>
        <w:rStyle w:val="PageNumber"/>
        <w:rFonts w:ascii="Arial" w:hAnsi="Arial" w:cs="Arial"/>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0" w:after="120"/>
      <w:jc w:val="center"/>
      <w:outlineLvl w:val="0"/>
    </w:pPr>
    <w:rPr>
      <w:rFonts w:ascii="Arial" w:hAnsi="Arial" w:cs="Arial"/>
      <w:b/>
      <w:bCs/>
      <w:sz w:val="22"/>
      <w:szCs w:val="20"/>
    </w:rPr>
  </w:style>
  <w:style w:type="paragraph" w:styleId="Heading2">
    <w:name w:val="heading 2"/>
    <w:basedOn w:val="Normal"/>
    <w:next w:val="Normal"/>
    <w:qFormat/>
    <w:pPr>
      <w:keepNext w:val="true"/>
      <w:numPr>
        <w:ilvl w:val="1"/>
        <w:numId w:val="1"/>
      </w:numPr>
      <w:jc w:val="both"/>
      <w:outlineLvl w:val="1"/>
    </w:pPr>
    <w:rPr>
      <w:bCs/>
      <w:sz w:val="20"/>
      <w:u w:val="single"/>
    </w:rPr>
  </w:style>
  <w:style w:type="character" w:styleId="WW8Num1z0">
    <w:name w:val="WW8Num1z0"/>
    <w:qFormat/>
    <w:rPr>
      <w:color w:val="auto"/>
    </w:rPr>
  </w:style>
  <w:style w:type="character" w:styleId="WW8Num2z0">
    <w:name w:val="WW8Num2z0"/>
    <w:qFormat/>
    <w:rPr/>
  </w:style>
  <w:style w:type="character" w:styleId="WW8Num3z0">
    <w:name w:val="WW8Num3z0"/>
    <w:qFormat/>
    <w:rPr/>
  </w:style>
  <w:style w:type="character" w:styleId="WW8Num4z0">
    <w:name w:val="WW8Num4z0"/>
    <w:qFormat/>
    <w:rPr>
      <w:b/>
    </w:rPr>
  </w:style>
  <w:style w:type="character" w:styleId="WW8Num5z0">
    <w:name w:val="WW8Num5z0"/>
    <w:qFormat/>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 w:type="paragraph" w:styleId="Header">
    <w:name w:val="header"/>
    <w:basedOn w:val="Normal"/>
    <w:pPr>
      <w:tabs>
        <w:tab w:val="clear" w:pos="720"/>
        <w:tab w:val="center" w:pos="4320" w:leader="none"/>
        <w:tab w:val="right" w:pos="8640" w:leader="none"/>
      </w:tabs>
    </w:pPr>
    <w:rPr>
      <w:sz w:val="26"/>
      <w:szCs w:val="20"/>
    </w:rPr>
  </w:style>
  <w:style w:type="paragraph" w:styleId="BodyText2">
    <w:name w:val="Body Text 2"/>
    <w:basedOn w:val="Normal"/>
    <w:qFormat/>
    <w:pPr>
      <w:tabs>
        <w:tab w:val="clear" w:pos="720"/>
        <w:tab w:val="left" w:pos="10800" w:leader="none"/>
      </w:tabs>
      <w:jc w:val="both"/>
    </w:pPr>
    <w:rPr>
      <w:bCs/>
      <w:i/>
      <w:iCs/>
      <w:sz w:val="20"/>
    </w:rPr>
  </w:style>
  <w:style w:type="paragraph" w:styleId="NormalJustified">
    <w:name w:val="Normal (Justified)"/>
    <w:basedOn w:val="Normal"/>
    <w:qFormat/>
    <w:pPr>
      <w:jc w:val="both"/>
    </w:pPr>
    <w:rPr>
      <w:rFonts w:eastAsia="SimSun;宋体"/>
      <w:kern w:val="2"/>
      <w:szCs w:val="20"/>
      <w:lang w:eastAsia="zh-CN"/>
    </w:rPr>
  </w:style>
  <w:style w:type="paragraph" w:styleId="BodyText3">
    <w:name w:val="Body Text 3"/>
    <w:basedOn w:val="Normal"/>
    <w:qFormat/>
    <w:pPr>
      <w:spacing w:before="0" w:after="120"/>
      <w:ind w:hanging="0" w:start="0" w:end="-216"/>
      <w:jc w:val="both"/>
    </w:pPr>
    <w:rPr>
      <w:bCs/>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112" w:leader="none"/>
        <w:tab w:val="right" w:pos="10224"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2001-11-27T12:41:00Z</dcterms:created>
  <dc:creator>dhyvl</dc:creator>
  <dc:description/>
  <dc:language>en-CA</dc:language>
  <cp:lastModifiedBy>rconcan</cp:lastModifiedBy>
  <cp:lastPrinted>2001-11-27T10:14:00Z</cp:lastPrinted>
  <dcterms:modified xsi:type="dcterms:W3CDTF">2001-11-27T13:44:00Z</dcterms:modified>
  <cp:revision>10</cp:revision>
  <dc:subject/>
  <dc:title>September 16, 2000</dc:title>
</cp:coreProperties>
</file>