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bCs/>
          <w:sz w:val="22"/>
        </w:rPr>
      </w:pPr>
      <w:r>
        <w:rPr>
          <w:rFonts w:cs="Arial" w:ascii="Arial" w:hAnsi="Arial"/>
          <w:b/>
          <w:bCs/>
          <w:sz w:val="22"/>
        </w:rPr>
      </w:r>
    </w:p>
    <w:p>
      <w:pPr>
        <w:pStyle w:val="Normal"/>
        <w:ind w:end="324"/>
        <w:jc w:val="center"/>
        <w:rPr>
          <w:bCs/>
          <w:sz w:val="22"/>
        </w:rPr>
      </w:pPr>
      <w:r>
        <w:rPr>
          <w:bCs/>
          <w:sz w:val="22"/>
        </w:rPr>
        <w:t>November 20, 2001</w:t>
      </w:r>
    </w:p>
    <w:p>
      <w:pPr>
        <w:pStyle w:val="Normal"/>
        <w:ind w:end="324"/>
        <w:jc w:val="center"/>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216"/>
        <w:jc w:val="both"/>
        <w:rPr>
          <w:bCs/>
          <w:sz w:val="22"/>
        </w:rPr>
      </w:pPr>
      <w:r>
        <w:rPr>
          <w:bCs/>
          <w:sz w:val="22"/>
        </w:rPr>
        <w:t>Vinson and Elkins</w:t>
      </w:r>
    </w:p>
    <w:p>
      <w:pPr>
        <w:pStyle w:val="Normal"/>
        <w:ind w:end="-216"/>
        <w:jc w:val="both"/>
        <w:rPr>
          <w:bCs/>
          <w:sz w:val="22"/>
        </w:rPr>
      </w:pPr>
      <w:r>
        <w:rPr>
          <w:bCs/>
          <w:sz w:val="22"/>
        </w:rPr>
        <w:t>International Business Strategies</w:t>
      </w:r>
    </w:p>
    <w:p>
      <w:pPr>
        <w:pStyle w:val="Normal"/>
        <w:ind w:end="-216"/>
        <w:jc w:val="both"/>
        <w:rPr>
          <w:bCs/>
          <w:sz w:val="22"/>
        </w:rPr>
      </w:pPr>
      <w:r>
        <w:rPr>
          <w:bCs/>
          <w:sz w:val="22"/>
        </w:rPr>
        <w:t>1001 Fannin Street</w:t>
      </w:r>
    </w:p>
    <w:p>
      <w:pPr>
        <w:pStyle w:val="Normal"/>
        <w:ind w:end="-216"/>
        <w:jc w:val="both"/>
        <w:rPr>
          <w:bCs/>
          <w:sz w:val="22"/>
        </w:rPr>
      </w:pPr>
      <w:r>
        <w:rPr>
          <w:bCs/>
          <w:sz w:val="22"/>
        </w:rPr>
        <w:t>Houston, Texas   77002</w:t>
      </w:r>
    </w:p>
    <w:p>
      <w:pPr>
        <w:pStyle w:val="Normal"/>
        <w:ind w:end="-216"/>
        <w:jc w:val="both"/>
        <w:rPr>
          <w:bCs/>
          <w:sz w:val="22"/>
        </w:rPr>
      </w:pPr>
      <w:r>
        <w:rPr>
          <w:bCs/>
          <w:sz w:val="22"/>
        </w:rPr>
        <w:t>Attn:  Ms. Julie Smith</w:t>
      </w:r>
    </w:p>
    <w:p>
      <w:pPr>
        <w:pStyle w:val="Normal"/>
        <w:ind w:end="-216"/>
        <w:jc w:val="both"/>
        <w:rPr>
          <w:bCs/>
          <w:sz w:val="22"/>
        </w:rPr>
      </w:pPr>
      <w:r>
        <w:rPr>
          <w:bCs/>
          <w:sz w:val="22"/>
        </w:rPr>
      </w:r>
    </w:p>
    <w:p>
      <w:pPr>
        <w:pStyle w:val="Normal"/>
        <w:ind w:end="-216"/>
        <w:jc w:val="center"/>
        <w:rPr>
          <w:bCs/>
          <w:sz w:val="22"/>
        </w:rPr>
      </w:pPr>
      <w:r>
        <w:rPr>
          <w:bCs/>
          <w:sz w:val="22"/>
        </w:rPr>
      </w:r>
    </w:p>
    <w:p>
      <w:pPr>
        <w:pStyle w:val="Normal"/>
        <w:ind w:end="-216"/>
        <w:jc w:val="both"/>
        <w:rPr>
          <w:bCs/>
          <w:sz w:val="22"/>
        </w:rPr>
      </w:pPr>
      <w:r>
        <w:rPr>
          <w:bCs/>
          <w:sz w:val="22"/>
        </w:rPr>
        <w:t>Dear Ms. Smith:</w:t>
      </w:r>
    </w:p>
    <w:p>
      <w:pPr>
        <w:pStyle w:val="Normal"/>
        <w:ind w:end="-216"/>
        <w:jc w:val="both"/>
        <w:rPr>
          <w:bCs/>
          <w:sz w:val="22"/>
        </w:rPr>
      </w:pPr>
      <w:r>
        <w:rPr>
          <w:bCs/>
          <w:sz w:val="22"/>
        </w:rPr>
      </w:r>
    </w:p>
    <w:p>
      <w:pPr>
        <w:pStyle w:val="BodyText3"/>
        <w:rPr/>
      </w:pPr>
      <w:r>
        <w:rPr/>
        <w:t xml:space="preserve">This Proposal sets forth the response of Enron North America Corp. (“ENA”) to the Request for Proposal (“RFP”) issued by ENEL Power (“ENEL”) in consultation with your firm, regarding the indicative terms for the purchase and sale of natural gas supply for the proposed Rio Bravo IV power plant project (the “Project”) located southeast of the City of Reynosa. </w:t>
      </w:r>
    </w:p>
    <w:p>
      <w:pPr>
        <w:pStyle w:val="Normal"/>
        <w:spacing w:before="0" w:after="120"/>
        <w:ind w:end="-216"/>
        <w:jc w:val="both"/>
        <w:rPr>
          <w:bCs/>
          <w:sz w:val="22"/>
        </w:rPr>
      </w:pPr>
      <w:r>
        <w:rPr>
          <w:bCs/>
          <w:sz w:val="22"/>
        </w:rPr>
        <w:t>The following is ENA’s indicative proposal to supply gas to the Project:</w:t>
      </w:r>
    </w:p>
    <w:p>
      <w:pPr>
        <w:pStyle w:val="Normal"/>
        <w:spacing w:before="0" w:after="120"/>
        <w:ind w:end="324"/>
        <w:jc w:val="both"/>
        <w:rPr>
          <w:bCs/>
          <w:sz w:val="22"/>
        </w:rPr>
      </w:pPr>
      <w:r>
        <w:rPr>
          <w:bCs/>
          <w:sz w:val="22"/>
        </w:rPr>
      </w:r>
    </w:p>
    <w:tbl>
      <w:tblPr>
        <w:tblW w:w="10908" w:type="dxa"/>
        <w:jc w:val="start"/>
        <w:tblInd w:w="0" w:type="dxa"/>
        <w:tblLayout w:type="fixed"/>
        <w:tblCellMar>
          <w:top w:w="0" w:type="dxa"/>
          <w:start w:w="108" w:type="dxa"/>
          <w:bottom w:w="0" w:type="dxa"/>
          <w:end w:w="108" w:type="dxa"/>
        </w:tblCellMar>
      </w:tblPr>
      <w:tblGrid>
        <w:gridCol w:w="4248"/>
        <w:gridCol w:w="6660"/>
      </w:tblGrid>
      <w:tr>
        <w:trPr/>
        <w:tc>
          <w:tcPr>
            <w:tcW w:w="4248" w:type="dxa"/>
            <w:tcBorders/>
          </w:tcPr>
          <w:p>
            <w:pPr>
              <w:pStyle w:val="Normal"/>
              <w:ind w:end="324"/>
              <w:jc w:val="both"/>
              <w:rPr>
                <w:bCs/>
                <w:sz w:val="22"/>
              </w:rPr>
            </w:pPr>
            <w:r>
              <w:rPr>
                <w:bCs/>
                <w:sz w:val="22"/>
              </w:rPr>
              <w:t>Buyer:</w:t>
            </w:r>
          </w:p>
        </w:tc>
        <w:tc>
          <w:tcPr>
            <w:tcW w:w="6660" w:type="dxa"/>
            <w:tcBorders/>
          </w:tcPr>
          <w:p>
            <w:pPr>
              <w:pStyle w:val="Normal"/>
              <w:ind w:end="324"/>
              <w:jc w:val="both"/>
              <w:rPr>
                <w:bCs/>
                <w:sz w:val="22"/>
              </w:rPr>
            </w:pPr>
            <w:r>
              <w:rPr>
                <w:bCs/>
                <w:sz w:val="22"/>
              </w:rPr>
              <w:t>ENEL Power’s newly established project company for the Rio Bravo IV Plant</w:t>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Seller:</w:t>
            </w:r>
          </w:p>
        </w:tc>
        <w:tc>
          <w:tcPr>
            <w:tcW w:w="6660" w:type="dxa"/>
            <w:tcBorders/>
          </w:tcPr>
          <w:p>
            <w:pPr>
              <w:pStyle w:val="Normal"/>
              <w:ind w:end="324"/>
              <w:jc w:val="both"/>
              <w:rPr>
                <w:bCs/>
                <w:sz w:val="22"/>
              </w:rPr>
            </w:pPr>
            <w:r>
              <w:rPr>
                <w:bCs/>
                <w:sz w:val="22"/>
              </w:rPr>
              <w:t>Enron North America Corp.</w:t>
            </w:r>
          </w:p>
          <w:p>
            <w:pPr>
              <w:pStyle w:val="Normal"/>
              <w:ind w:end="324"/>
              <w:jc w:val="both"/>
              <w:rPr>
                <w:bCs/>
                <w:sz w:val="22"/>
              </w:rPr>
            </w:pPr>
            <w:r>
              <w:rPr>
                <w:bCs/>
                <w:sz w:val="22"/>
              </w:rPr>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Delivery Location:</w:t>
            </w:r>
          </w:p>
          <w:p>
            <w:pPr>
              <w:pStyle w:val="Normal"/>
              <w:ind w:end="324"/>
              <w:jc w:val="both"/>
              <w:rPr>
                <w:bCs/>
                <w:sz w:val="22"/>
              </w:rPr>
            </w:pPr>
            <w:r>
              <w:rPr>
                <w:bCs/>
                <w:sz w:val="22"/>
              </w:rPr>
            </w:r>
          </w:p>
        </w:tc>
        <w:tc>
          <w:tcPr>
            <w:tcW w:w="6660" w:type="dxa"/>
            <w:tcBorders/>
          </w:tcPr>
          <w:p>
            <w:pPr>
              <w:pStyle w:val="Normal"/>
              <w:ind w:end="324"/>
              <w:jc w:val="both"/>
              <w:rPr>
                <w:bCs/>
                <w:sz w:val="22"/>
              </w:rPr>
            </w:pPr>
            <w:r>
              <w:rPr>
                <w:bCs/>
                <w:sz w:val="22"/>
              </w:rPr>
              <w:t>Tennessee Gas Pipeline’s (TGP’s) Texas 100 Leg Pool No. 020826 or TGP’s supply receipt points and pipeline interconnection(s) located at and/or south of Aqua Dulce within TGP’s Zone 0 pipeline segment.</w:t>
            </w:r>
          </w:p>
          <w:p>
            <w:pPr>
              <w:pStyle w:val="Normal"/>
              <w:ind w:end="324"/>
              <w:jc w:val="both"/>
              <w:rPr>
                <w:bCs/>
                <w:sz w:val="22"/>
              </w:rPr>
            </w:pPr>
            <w:r>
              <w:rPr>
                <w:bCs/>
                <w:sz w:val="22"/>
              </w:rPr>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Term, Type of Service, Quantity &amp; Price:</w:t>
            </w:r>
          </w:p>
          <w:p>
            <w:pPr>
              <w:pStyle w:val="Normal"/>
              <w:ind w:end="324"/>
              <w:jc w:val="both"/>
              <w:rPr>
                <w:bCs/>
                <w:sz w:val="22"/>
              </w:rPr>
            </w:pPr>
            <w:r>
              <w:rPr>
                <w:bCs/>
                <w:sz w:val="22"/>
              </w:rPr>
            </w:r>
          </w:p>
        </w:tc>
        <w:tc>
          <w:tcPr>
            <w:tcW w:w="6660" w:type="dxa"/>
            <w:tcBorders/>
          </w:tcPr>
          <w:p>
            <w:pPr>
              <w:pStyle w:val="Normal"/>
              <w:ind w:end="324"/>
              <w:jc w:val="both"/>
              <w:rPr>
                <w:bCs/>
                <w:sz w:val="22"/>
                <w:u w:val="single"/>
              </w:rPr>
            </w:pPr>
            <w:r>
              <w:rPr>
                <w:bCs/>
                <w:sz w:val="22"/>
                <w:u w:val="single"/>
              </w:rPr>
              <w:t>OPTION I :</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65,000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15,400,000 MMBtu (Annual Take Percentage is 65 %)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sSub>
                        <m:e>
                          <m:r>
                            <m:rPr>
                              <m:lit/>
                              <m:nor/>
                            </m:rPr>
                            <m:t xml:space="preserve">INDEX</m:t>
                          </m:r>
                        </m:e>
                        <m:sub>
                          <m:r>
                            <m:t xml:space="preserve">d</m:t>
                          </m:r>
                        </m:sub>
                      </m:sSub>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65</w:t>
            </w:r>
            <w:r>
              <w:rPr>
                <w:sz w:val="22"/>
                <w:lang w:val="en-GB"/>
              </w:rPr>
              <w:t>,000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r>
            <w:r>
              <w:rPr>
                <w:bCs/>
                <w:sz w:val="22"/>
                <w:lang w:val="en-GB"/>
              </w:rPr>
              <w:t>65</w:t>
            </w:r>
            <w:r>
              <w:rPr>
                <w:sz w:val="22"/>
                <w:lang w:val="en-GB"/>
              </w:rPr>
              <w:t>,000 MMBtu per 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firstLine="432" w:end="324"/>
              <w:jc w:val="both"/>
              <w:rPr>
                <w:bCs/>
                <w:sz w:val="22"/>
                <w:lang w:val="en-GB"/>
              </w:rPr>
            </w:pPr>
            <w:r>
              <w:rPr>
                <w:bCs/>
                <w:sz w:val="22"/>
                <w:lang w:val="en-GB"/>
              </w:rPr>
            </w:r>
          </w:p>
          <w:p>
            <w:pPr>
              <w:pStyle w:val="Normal"/>
              <w:ind w:end="324"/>
              <w:jc w:val="both"/>
              <w:rPr>
                <w:bCs/>
                <w:sz w:val="22"/>
                <w:u w:val="single"/>
              </w:rPr>
            </w:pPr>
            <w:r>
              <w:rPr>
                <w:bCs/>
                <w:sz w:val="22"/>
                <w:u w:val="single"/>
              </w:rPr>
              <w:t>B)  Test Gas Period (July 2004 through March 2005 – 9 Month Period)</w:t>
            </w:r>
          </w:p>
          <w:p>
            <w:pPr>
              <w:pStyle w:val="Normal"/>
              <w:ind w:end="324"/>
              <w:jc w:val="both"/>
              <w:rPr>
                <w:bCs/>
                <w:sz w:val="22"/>
                <w:u w:val="single"/>
              </w:rPr>
            </w:pPr>
            <w:r>
              <w:rPr>
                <w:bCs/>
                <w:sz w:val="22"/>
                <w:u w:val="single"/>
              </w:rPr>
            </w:r>
          </w:p>
          <w:p>
            <w:pPr>
              <w:pStyle w:val="Normal"/>
              <w:ind w:end="324"/>
              <w:jc w:val="both"/>
              <w:rPr>
                <w:bCs/>
                <w:sz w:val="22"/>
              </w:rPr>
            </w:pPr>
            <w:r>
              <w:rPr>
                <w:bCs/>
                <w:sz w:val="22"/>
              </w:rPr>
              <w:t>Reasonable Efforts Sale to Buyer</w:t>
            </w:r>
          </w:p>
          <w:p>
            <w:pPr>
              <w:pStyle w:val="Normal"/>
              <w:ind w:end="324"/>
              <w:jc w:val="both"/>
              <w:rPr>
                <w:bCs/>
                <w:sz w:val="22"/>
              </w:rPr>
            </w:pPr>
            <w:r>
              <w:rPr>
                <w:bCs/>
                <w:sz w:val="22"/>
              </w:rPr>
            </w:r>
          </w:p>
          <w:p>
            <w:pPr>
              <w:pStyle w:val="Normal"/>
              <w:ind w:end="324"/>
              <w:jc w:val="both"/>
              <w:rPr>
                <w:bCs/>
                <w:sz w:val="22"/>
              </w:rPr>
            </w:pPr>
            <w:r>
              <w:rPr>
                <w:bCs/>
                <w:sz w:val="22"/>
              </w:rPr>
              <w:t>Volumes up to the 65,000 MMBtu/day.  Volumes purchased during Test Gas Period do not apply to MinAQ.</w:t>
            </w:r>
          </w:p>
          <w:p>
            <w:pPr>
              <w:pStyle w:val="Normal"/>
              <w:ind w:end="324"/>
              <w:jc w:val="both"/>
              <w:rPr>
                <w:bCs/>
                <w:sz w:val="22"/>
              </w:rPr>
            </w:pPr>
            <w:r>
              <w:rPr>
                <w:bCs/>
                <w:sz w:val="22"/>
              </w:rPr>
            </w:r>
          </w:p>
          <w:p>
            <w:pPr>
              <w:pStyle w:val="Normal"/>
              <w:ind w:end="324"/>
              <w:jc w:val="both"/>
              <w:rPr>
                <w:bCs/>
                <w:sz w:val="22"/>
              </w:rPr>
            </w:pPr>
            <w:r>
              <w:rPr>
                <w:bCs/>
                <w:sz w:val="22"/>
              </w:rPr>
              <w:t>Price:</w:t>
            </w:r>
          </w:p>
          <w:p>
            <w:pPr>
              <w:pStyle w:val="Normal"/>
              <w:ind w:firstLine="432" w:end="324"/>
              <w:jc w:val="both"/>
              <w:rPr>
                <w:bCs/>
                <w:sz w:val="22"/>
              </w:rPr>
            </w:pPr>
            <w:r>
              <w:rPr>
                <w:bCs/>
                <w:sz w:val="22"/>
              </w:rPr>
              <w:t>Same as the above price description for the Commercial Operations Period.</w:t>
            </w:r>
          </w:p>
          <w:p>
            <w:pPr>
              <w:pStyle w:val="Normal"/>
              <w:ind w:end="324"/>
              <w:jc w:val="both"/>
              <w:rPr>
                <w:bCs/>
                <w:sz w:val="22"/>
              </w:rPr>
            </w:pPr>
            <w:r>
              <w:rPr>
                <w:bCs/>
                <w:sz w:val="22"/>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OPTION II:</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(April 1, 2005 through March 31, 2020 or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pPr>
            <w:r>
              <w:rPr>
                <w:bCs/>
                <w:sz w:val="22"/>
              </w:rPr>
              <w:t xml:space="preserve">Minimum Daily Quantity of (“MinDQ”) 65,000 MMBtu/day </w:t>
            </w:r>
            <w:r>
              <w:rPr>
                <w:bCs/>
                <w:sz w:val="22"/>
                <w:u w:val="single"/>
              </w:rPr>
              <w:t>including</w:t>
            </w:r>
            <w:r>
              <w:rPr>
                <w:bCs/>
                <w:sz w:val="22"/>
              </w:rPr>
              <w:t xml:space="preserve"> maintenance and outage periods</w:t>
            </w:r>
          </w:p>
          <w:p>
            <w:pPr>
              <w:pStyle w:val="Normal"/>
              <w:ind w:end="324"/>
              <w:jc w:val="both"/>
              <w:rPr>
                <w:bCs/>
                <w:sz w:val="22"/>
              </w:rPr>
            </w:pPr>
            <w:r>
              <w:rPr>
                <w:bCs/>
                <w:sz w:val="22"/>
              </w:rPr>
            </w:r>
          </w:p>
          <w:p>
            <w:pPr>
              <w:pStyle w:val="Normal"/>
              <w:ind w:end="324"/>
              <w:jc w:val="both"/>
              <w:rPr>
                <w:bCs/>
                <w:sz w:val="22"/>
              </w:rPr>
            </w:pPr>
            <w:r>
              <w:rPr>
                <w:bCs/>
                <w:sz w:val="22"/>
              </w:rPr>
              <w:t>Maximum Daily Quantity (“MDQ”) is 65,000 MMBtu/day (Daily Take Percentage is 100 %)</w:t>
            </w:r>
          </w:p>
          <w:p>
            <w:pPr>
              <w:pStyle w:val="Normal"/>
              <w:ind w:end="324"/>
              <w:jc w:val="both"/>
              <w:rPr>
                <w:bCs/>
                <w:sz w:val="22"/>
              </w:rPr>
            </w:pPr>
            <w:r>
              <w:rPr>
                <w:bCs/>
                <w:sz w:val="22"/>
              </w:rPr>
            </w:r>
          </w:p>
          <w:p>
            <w:pPr>
              <w:pStyle w:val="NormalJustified"/>
              <w:ind w:hanging="2880" w:start="2880" w:end="324"/>
              <w:rPr/>
            </w:pPr>
            <w:r>
              <w:rPr>
                <w:bCs/>
                <w:sz w:val="22"/>
              </w:rPr>
              <w:t>Price:</w:t>
            </w:r>
            <w:r>
              <w:rPr>
                <w:lang w:val="en-GB"/>
              </w:rPr>
              <w:t xml:space="preserv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r>
                    <m:t xml:space="preserve">[</m:t>
                  </m:r>
                  <m:sSub>
                    <m:e>
                      <m:r>
                        <m:t xml:space="preserve">Q</m:t>
                      </m:r>
                    </m:e>
                    <m:sub>
                      <m:r>
                        <m:t xml:space="preserve">d</m:t>
                      </m:r>
                    </m:sub>
                  </m:sSub>
                  <m:r>
                    <m:t xml:space="preserve">∗</m:t>
                  </m:r>
                  <m:r>
                    <m:t xml:space="preserve">(</m:t>
                  </m:r>
                  <m:sSub>
                    <m:e>
                      <m:r>
                        <m:rPr>
                          <m:lit/>
                          <m:nor/>
                        </m:rPr>
                        <m:t xml:space="preserve">INDEX</m:t>
                      </m:r>
                    </m:e>
                    <m:sub>
                      <m:r>
                        <m:t xml:space="preserve">d</m:t>
                      </m:r>
                    </m:sub>
                  </m:sSub>
                  <m:r>
                    <m:t xml:space="preserve">+</m:t>
                  </m:r>
                  <m:r>
                    <m:t xml:space="preserve">K</m:t>
                  </m:r>
                  <m:r>
                    <m:t xml:space="preserve">)</m:t>
                  </m:r>
                  <m:r>
                    <m:t xml:space="preserve">]</m:t>
                  </m:r>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sz w:val="22"/>
                <w:lang w:val="en-GB"/>
              </w:rPr>
              <w:t>Q</w:t>
            </w:r>
            <w:r>
              <w:rPr>
                <w:b/>
                <w:sz w:val="22"/>
                <w:vertAlign w:val="subscript"/>
                <w:lang w:val="en-GB"/>
              </w:rPr>
              <w:t>d</w:t>
            </w:r>
            <w:r>
              <w:rPr>
                <w:b/>
                <w:sz w:val="22"/>
                <w:lang w:val="en-GB"/>
              </w:rPr>
              <w:t xml:space="preserve">  =</w:t>
              <w:tab/>
            </w:r>
            <w:r>
              <w:rPr>
                <w:bCs/>
                <w:sz w:val="22"/>
                <w:lang w:val="en-GB"/>
              </w:rPr>
              <w:t>65</w:t>
            </w:r>
            <w:r>
              <w:rPr>
                <w:sz w:val="22"/>
                <w:lang w:val="en-GB"/>
              </w:rPr>
              <w:t>,000 MMBtu per 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arithmetic average, expressed in US$/MMBtu, of (1) Houston Ship Channel under the heading East-Houston-Katy and (2) Tennessee under the heading South-Corpus Christi, as reported in Gas Daily, under the Daily Price Survey, for the corresponding Flow Date(s), Midpoint column</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w:t>
              <w:tab/>
              <w:t>The K adder to the INDEX</w:t>
            </w:r>
            <w:r>
              <w:rPr>
                <w:sz w:val="22"/>
                <w:vertAlign w:val="subscript"/>
                <w:lang w:val="en-GB"/>
              </w:rPr>
              <w:t>d</w:t>
            </w:r>
            <w:r>
              <w:rPr>
                <w:sz w:val="22"/>
                <w:lang w:val="en-GB"/>
              </w:rPr>
              <w:t>, which is fixed per MMBtu amount added to the daily INDEX, and equal to $0.045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rPr>
            </w:pPr>
            <w:r>
              <w:rPr>
                <w:sz w:val="22"/>
                <w:lang w:val="en-GB"/>
              </w:rPr>
              <w:tab/>
              <w:t xml:space="preserve">The Gas Price specified herein is inclusive of all costs, 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firstLine="432" w:end="324"/>
              <w:jc w:val="both"/>
              <w:rPr>
                <w:bCs/>
                <w:sz w:val="22"/>
                <w:lang w:val="en-GB"/>
              </w:rPr>
            </w:pPr>
            <w:r>
              <w:rPr>
                <w:bCs/>
                <w:sz w:val="22"/>
                <w:lang w:val="en-GB"/>
              </w:rPr>
            </w:r>
          </w:p>
          <w:p>
            <w:pPr>
              <w:pStyle w:val="Heading2"/>
              <w:ind w:hanging="0" w:start="0" w:end="324"/>
              <w:rPr>
                <w:sz w:val="22"/>
              </w:rPr>
            </w:pPr>
            <w:r>
              <w:rPr>
                <w:sz w:val="22"/>
              </w:rPr>
              <w:t xml:space="preserve">B)  Maintenance/Outage Periods  </w:t>
            </w:r>
          </w:p>
          <w:p>
            <w:pPr>
              <w:pStyle w:val="Normal"/>
              <w:ind w:end="324"/>
              <w:rPr>
                <w:sz w:val="22"/>
              </w:rPr>
            </w:pPr>
            <w:r>
              <w:rPr>
                <w:sz w:val="22"/>
              </w:rPr>
            </w:r>
          </w:p>
          <w:p>
            <w:pPr>
              <w:pStyle w:val="Normal"/>
              <w:ind w:end="324"/>
              <w:jc w:val="both"/>
              <w:rPr>
                <w:bCs/>
                <w:sz w:val="22"/>
              </w:rPr>
            </w:pPr>
            <w:r>
              <w:rPr>
                <w:bCs/>
                <w:sz w:val="22"/>
              </w:rPr>
              <w:t>Seller repurchases the daily nominated unutilized volumes from the Project</w:t>
            </w:r>
          </w:p>
          <w:p>
            <w:pPr>
              <w:pStyle w:val="Normal"/>
              <w:ind w:end="324"/>
              <w:jc w:val="both"/>
              <w:rPr>
                <w:bCs/>
                <w:sz w:val="22"/>
              </w:rPr>
            </w:pPr>
            <w:r>
              <w:rPr>
                <w:bCs/>
                <w:sz w:val="22"/>
              </w:rPr>
            </w:r>
          </w:p>
          <w:p>
            <w:pPr>
              <w:pStyle w:val="Normal"/>
              <w:ind w:end="324"/>
              <w:jc w:val="both"/>
              <w:rPr>
                <w:bCs/>
                <w:sz w:val="22"/>
              </w:rPr>
            </w:pPr>
            <w:r>
              <w:rPr>
                <w:bCs/>
                <w:sz w:val="22"/>
              </w:rPr>
              <w:t xml:space="preserve">Up to the 65,000 MMBtu/day MinDQ </w:t>
            </w:r>
          </w:p>
          <w:p>
            <w:pPr>
              <w:pStyle w:val="Normal"/>
              <w:ind w:end="324"/>
              <w:jc w:val="both"/>
              <w:rPr>
                <w:bCs/>
                <w:sz w:val="22"/>
              </w:rPr>
            </w:pPr>
            <w:r>
              <w:rPr>
                <w:bCs/>
                <w:sz w:val="22"/>
              </w:rPr>
            </w:r>
          </w:p>
          <w:p>
            <w:pPr>
              <w:pStyle w:val="Normal"/>
              <w:ind w:end="324"/>
              <w:jc w:val="both"/>
              <w:rPr>
                <w:bCs/>
                <w:sz w:val="22"/>
              </w:rPr>
            </w:pPr>
            <w:r>
              <w:rPr>
                <w:bCs/>
                <w:sz w:val="22"/>
              </w:rPr>
              <w:t>Repurchase location is Tennessee Gas Pipeline’s (TGP’s) Texas 100 Leg Pool No. 020826.</w:t>
            </w:r>
          </w:p>
          <w:p>
            <w:pPr>
              <w:pStyle w:val="Normal"/>
              <w:ind w:end="324"/>
              <w:jc w:val="both"/>
              <w:rPr>
                <w:bCs/>
                <w:sz w:val="22"/>
              </w:rPr>
            </w:pPr>
            <w:r>
              <w:rPr>
                <w:bCs/>
                <w:sz w:val="22"/>
              </w:rPr>
            </w:r>
          </w:p>
          <w:p>
            <w:pPr>
              <w:pStyle w:val="Normal"/>
              <w:ind w:end="324"/>
              <w:jc w:val="both"/>
              <w:rPr>
                <w:bCs/>
                <w:sz w:val="22"/>
              </w:rPr>
            </w:pPr>
            <w:r>
              <w:rPr>
                <w:bCs/>
                <w:sz w:val="22"/>
              </w:rPr>
              <w:t>Price:</w:t>
            </w:r>
          </w:p>
          <w:p>
            <w:pPr>
              <w:pStyle w:val="Normal"/>
              <w:ind w:firstLine="432" w:end="324"/>
              <w:jc w:val="both"/>
              <w:rPr>
                <w:bCs/>
                <w:sz w:val="22"/>
              </w:rPr>
            </w:pPr>
            <w:r>
              <w:rPr>
                <w:bCs/>
                <w:sz w:val="22"/>
              </w:rPr>
              <w:t>Daily posted price for Tennessee under the heading South-Corpus Christie, as reported in Gas Daily, under the Daily price Survey, for the corresponding Flow Date(s), midpoint column.</w:t>
            </w:r>
          </w:p>
          <w:p>
            <w:pPr>
              <w:pStyle w:val="Normal"/>
              <w:ind w:firstLine="432"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u w:val="single"/>
              </w:rPr>
            </w:pPr>
            <w:r>
              <w:rPr>
                <w:bCs/>
                <w:sz w:val="22"/>
                <w:u w:val="single"/>
              </w:rPr>
              <w:t>C)  Test Gas Period (July 2004 through March 2005 – 9 Month Period)</w:t>
            </w:r>
          </w:p>
          <w:p>
            <w:pPr>
              <w:pStyle w:val="Normal"/>
              <w:ind w:end="324"/>
              <w:jc w:val="both"/>
              <w:rPr>
                <w:bCs/>
                <w:sz w:val="22"/>
                <w:u w:val="single"/>
              </w:rPr>
            </w:pPr>
            <w:r>
              <w:rPr>
                <w:bCs/>
                <w:sz w:val="22"/>
                <w:u w:val="single"/>
              </w:rPr>
            </w:r>
          </w:p>
          <w:p>
            <w:pPr>
              <w:pStyle w:val="Normal"/>
              <w:ind w:end="324"/>
              <w:jc w:val="both"/>
              <w:rPr>
                <w:bCs/>
                <w:sz w:val="22"/>
              </w:rPr>
            </w:pPr>
            <w:r>
              <w:rPr>
                <w:bCs/>
                <w:sz w:val="22"/>
              </w:rPr>
              <w:t>Reasonable Efforts Sale to Buyer</w:t>
            </w:r>
          </w:p>
          <w:p>
            <w:pPr>
              <w:pStyle w:val="Normal"/>
              <w:ind w:end="324"/>
              <w:jc w:val="both"/>
              <w:rPr>
                <w:bCs/>
                <w:sz w:val="22"/>
              </w:rPr>
            </w:pPr>
            <w:r>
              <w:rPr>
                <w:bCs/>
                <w:sz w:val="22"/>
              </w:rPr>
            </w:r>
          </w:p>
          <w:p>
            <w:pPr>
              <w:pStyle w:val="Normal"/>
              <w:ind w:end="324"/>
              <w:jc w:val="both"/>
              <w:rPr>
                <w:bCs/>
                <w:sz w:val="22"/>
              </w:rPr>
            </w:pPr>
            <w:r>
              <w:rPr>
                <w:bCs/>
                <w:sz w:val="22"/>
              </w:rPr>
              <w:t>Volumes up to the 65,000 MMBtu/day.  Volumes purchased during Test Gas Period do not apply to MinAQ.</w:t>
            </w:r>
          </w:p>
          <w:p>
            <w:pPr>
              <w:pStyle w:val="Normal"/>
              <w:ind w:end="324"/>
              <w:jc w:val="both"/>
              <w:rPr>
                <w:bCs/>
                <w:sz w:val="22"/>
              </w:rPr>
            </w:pPr>
            <w:r>
              <w:rPr>
                <w:bCs/>
                <w:sz w:val="22"/>
              </w:rPr>
            </w:r>
          </w:p>
          <w:p>
            <w:pPr>
              <w:pStyle w:val="Normal"/>
              <w:ind w:end="324"/>
              <w:jc w:val="both"/>
              <w:rPr>
                <w:bCs/>
                <w:sz w:val="22"/>
              </w:rPr>
            </w:pPr>
            <w:r>
              <w:rPr>
                <w:bCs/>
                <w:sz w:val="22"/>
              </w:rPr>
              <w:t>Price:</w:t>
            </w:r>
          </w:p>
          <w:p>
            <w:pPr>
              <w:pStyle w:val="Normal"/>
              <w:ind w:firstLine="432" w:end="324"/>
              <w:jc w:val="both"/>
              <w:rPr>
                <w:bCs/>
                <w:sz w:val="22"/>
              </w:rPr>
            </w:pPr>
            <w:r>
              <w:rPr>
                <w:bCs/>
                <w:sz w:val="22"/>
              </w:rPr>
              <w:t>Same as the above price description for the Commercial Operations Period.</w:t>
            </w:r>
          </w:p>
          <w:p>
            <w:pPr>
              <w:pStyle w:val="Normal"/>
              <w:ind w:end="324"/>
              <w:jc w:val="both"/>
              <w:rPr>
                <w:bCs/>
                <w:sz w:val="22"/>
              </w:rPr>
            </w:pPr>
            <w:r>
              <w:rPr>
                <w:bCs/>
                <w:sz w:val="22"/>
              </w:rPr>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Nominations:</w:t>
            </w:r>
          </w:p>
          <w:p>
            <w:pPr>
              <w:pStyle w:val="Normal"/>
              <w:ind w:end="324"/>
              <w:jc w:val="both"/>
              <w:rPr>
                <w:bCs/>
                <w:sz w:val="22"/>
              </w:rPr>
            </w:pPr>
            <w:r>
              <w:rPr>
                <w:bCs/>
                <w:sz w:val="22"/>
              </w:rPr>
            </w:r>
          </w:p>
        </w:tc>
        <w:tc>
          <w:tcPr>
            <w:tcW w:w="6660" w:type="dxa"/>
            <w:tcBorders/>
          </w:tcPr>
          <w:p>
            <w:pPr>
              <w:pStyle w:val="Normal"/>
              <w:ind w:end="324"/>
              <w:jc w:val="both"/>
              <w:rPr>
                <w:bCs/>
                <w:sz w:val="22"/>
              </w:rPr>
            </w:pPr>
            <w:r>
              <w:rPr>
                <w:bCs/>
                <w:sz w:val="22"/>
              </w:rPr>
              <w:t>Buyer will nominate firm daily quantities to Seller by 8:30 a.m. CST on the business day prior to each day when the gas is required to be delivered in accordance with GISB industry standards for Cycle I on-time nominations.</w:t>
            </w:r>
          </w:p>
          <w:p>
            <w:pPr>
              <w:pStyle w:val="Normal"/>
              <w:ind w:end="324"/>
              <w:jc w:val="both"/>
              <w:rPr>
                <w:bCs/>
                <w:sz w:val="22"/>
              </w:rPr>
            </w:pPr>
            <w:r>
              <w:rPr>
                <w:bCs/>
                <w:sz w:val="22"/>
              </w:rPr>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Other Provisions:</w:t>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tc>
        <w:tc>
          <w:tcPr>
            <w:tcW w:w="6660" w:type="dxa"/>
            <w:tcBorders/>
          </w:tcPr>
          <w:p>
            <w:pPr>
              <w:pStyle w:val="Normal"/>
              <w:ind w:end="324"/>
              <w:jc w:val="both"/>
              <w:rPr>
                <w:bCs/>
                <w:sz w:val="22"/>
              </w:rPr>
            </w:pPr>
            <w:r>
              <w:rPr>
                <w:bCs/>
                <w:sz w:val="22"/>
              </w:rPr>
              <w:t>Buyer will be required to execute ENA’s Master Firm Purchase/Sale Agreement with all credit requirements of ENA and appropriate Transaction Confirmations that will indicate the full terms and conditions contemplated by this proposal.</w:t>
            </w:r>
          </w:p>
          <w:p>
            <w:pPr>
              <w:pStyle w:val="Normal"/>
              <w:ind w:end="324"/>
              <w:jc w:val="both"/>
              <w:rPr>
                <w:bCs/>
                <w:sz w:val="22"/>
              </w:rPr>
            </w:pPr>
            <w:r>
              <w:rPr>
                <w:bCs/>
                <w:sz w:val="22"/>
              </w:rPr>
            </w:r>
          </w:p>
          <w:p>
            <w:pPr>
              <w:pStyle w:val="Normal"/>
              <w:ind w:end="324"/>
              <w:jc w:val="both"/>
              <w:rPr>
                <w:bCs/>
                <w:sz w:val="22"/>
              </w:rPr>
            </w:pPr>
            <w:r>
              <w:rPr>
                <w:bCs/>
                <w:sz w:val="22"/>
              </w:rPr>
              <w:t>All gas will be scheduled at the Delivery Location on a firm basis.  If on any day a party fails to deliver or take delivery, then such occurrence will constitute a default.  The remedies for default occurrences will be covered in the terms and conditions of ENA’s Master Agreement.</w:t>
            </w:r>
          </w:p>
          <w:p>
            <w:pPr>
              <w:pStyle w:val="Normal"/>
              <w:ind w:end="324"/>
              <w:jc w:val="both"/>
              <w:rPr>
                <w:bCs/>
                <w:sz w:val="22"/>
              </w:rPr>
            </w:pPr>
            <w:r>
              <w:rPr>
                <w:bCs/>
                <w:sz w:val="22"/>
              </w:rPr>
            </w:r>
          </w:p>
          <w:p>
            <w:pPr>
              <w:pStyle w:val="Normal"/>
              <w:ind w:end="324"/>
              <w:jc w:val="both"/>
              <w:rPr>
                <w:bCs/>
                <w:sz w:val="22"/>
              </w:rPr>
            </w:pPr>
            <w:r>
              <w:rPr>
                <w:bCs/>
                <w:sz w:val="22"/>
              </w:rPr>
              <w:t>Seller will consider various agency arrangements with the Buyer, where the Project bears all the performance, price and credit risk exposure associated with transportation service agreements with Tennessee Gas Pipeline and El Paso’s Rio Bravo, B.V. Pipeline project.</w:t>
            </w:r>
          </w:p>
          <w:p>
            <w:pPr>
              <w:pStyle w:val="Normal"/>
              <w:ind w:end="324"/>
              <w:jc w:val="both"/>
              <w:rPr>
                <w:bCs/>
                <w:sz w:val="22"/>
              </w:rPr>
            </w:pPr>
            <w:r>
              <w:rPr>
                <w:bCs/>
                <w:sz w:val="22"/>
              </w:rPr>
            </w:r>
          </w:p>
          <w:p>
            <w:pPr>
              <w:pStyle w:val="Normal"/>
              <w:ind w:end="324"/>
              <w:jc w:val="both"/>
              <w:rPr>
                <w:bCs/>
                <w:sz w:val="22"/>
              </w:rPr>
            </w:pPr>
            <w:r>
              <w:rPr>
                <w:bCs/>
                <w:sz w:val="22"/>
              </w:rPr>
            </w:r>
          </w:p>
        </w:tc>
      </w:tr>
    </w:tbl>
    <w:p>
      <w:pPr>
        <w:pStyle w:val="BodyText"/>
        <w:spacing w:before="120" w:after="120"/>
        <w:ind w:end="-36"/>
        <w:rPr>
          <w:rFonts w:ascii="Times New Roman" w:hAnsi="Times New Roman" w:cs="Times New Roman"/>
          <w:b/>
          <w:i/>
          <w:i/>
          <w:iCs/>
        </w:rPr>
      </w:pPr>
      <w:r>
        <w:rPr>
          <w:rFonts w:cs="Times New Roman" w:ascii="Times New Roman" w:hAnsi="Times New Roman"/>
          <w:b/>
          <w:i/>
          <w:iCs/>
        </w:rPr>
        <w:t>This is for discussion purposes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related to credit and limitation of damages.</w:t>
      </w:r>
    </w:p>
    <w:p>
      <w:pPr>
        <w:pStyle w:val="BodyText"/>
        <w:spacing w:before="120" w:after="120"/>
        <w:ind w:end="324"/>
        <w:rPr>
          <w:rFonts w:ascii="Times New Roman" w:hAnsi="Times New Roman" w:cs="Times New Roman"/>
          <w:b/>
          <w:i/>
          <w:i/>
          <w:iCs/>
        </w:rPr>
      </w:pPr>
      <w:r>
        <w:rPr>
          <w:rFonts w:cs="Times New Roman" w:ascii="Times New Roman" w:hAnsi="Times New Roman"/>
          <w:b/>
          <w:i/>
          <w:iCs/>
        </w:rPr>
      </w:r>
    </w:p>
    <w:p>
      <w:pPr>
        <w:pStyle w:val="BodyText"/>
        <w:spacing w:before="120" w:after="120"/>
        <w:ind w:end="324"/>
        <w:rPr>
          <w:rFonts w:ascii="Times New Roman" w:hAnsi="Times New Roman" w:cs="Times New Roman"/>
          <w:bCs/>
        </w:rPr>
      </w:pPr>
      <w:r>
        <w:rPr>
          <w:rFonts w:cs="Times New Roman" w:ascii="Times New Roman" w:hAnsi="Times New Roman"/>
          <w:bCs/>
        </w:rPr>
        <w:t>Sincerely,</w:t>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t>Ruth Concannon</w:t>
      </w:r>
    </w:p>
    <w:p>
      <w:pPr>
        <w:pStyle w:val="BodyText"/>
        <w:spacing w:before="120" w:after="120"/>
        <w:ind w:end="324"/>
        <w:rPr>
          <w:rFonts w:ascii="Times New Roman" w:hAnsi="Times New Roman" w:cs="Times New Roman"/>
          <w:bCs/>
        </w:rPr>
      </w:pPr>
      <w:r>
        <w:rPr>
          <w:rFonts w:cs="Times New Roman" w:ascii="Times New Roman" w:hAnsi="Times New Roman"/>
          <w:bCs/>
        </w:rPr>
        <w:t>Director, East Origination</w:t>
      </w:r>
    </w:p>
    <w:p>
      <w:pPr>
        <w:pStyle w:val="BodyText"/>
        <w:spacing w:before="120" w:after="120"/>
        <w:ind w:end="324"/>
        <w:rPr>
          <w:rFonts w:ascii="Times New Roman" w:hAnsi="Times New Roman" w:cs="Times New Roman"/>
          <w:bCs/>
        </w:rPr>
      </w:pPr>
      <w:r>
        <w:rPr>
          <w:rFonts w:cs="Times New Roman" w:ascii="Times New Roman" w:hAnsi="Times New Roman"/>
          <w:bCs/>
        </w:rPr>
        <w:t>(713) 853-1667</w:t>
      </w:r>
    </w:p>
    <w:sectPr>
      <w:headerReference w:type="default" r:id="rId2"/>
      <w:headerReference w:type="first" r:id="rId3"/>
      <w:footerReference w:type="default" r:id="rId4"/>
      <w:footerReference w:type="first" r:id="rId5"/>
      <w:type w:val="nextPage"/>
      <w:pgSz w:w="12240" w:h="15840"/>
      <w:pgMar w:left="1008" w:right="1008"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/mnt/main-storage/datasets/enron-docs/doc/RioBravo4ENEL.doc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/mnt/main-storage/datasets/enron-docs/doc/RioBravo4ENEL.doc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Vinson and Elkins</w:t>
    </w:r>
  </w:p>
  <w:p>
    <w:pPr>
      <w:pStyle w:val="Header"/>
      <w:rPr>
        <w:rFonts w:ascii="Arial" w:hAnsi="Arial" w:cs="Arial"/>
        <w:sz w:val="22"/>
      </w:rPr>
    </w:pPr>
    <w:r>
      <w:rPr>
        <w:rFonts w:cs="Arial" w:ascii="Arial" w:hAnsi="Arial"/>
        <w:sz w:val="22"/>
      </w:rPr>
      <w:t>November 19, 2001</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paragraph" w:styleId="Heading2">
    <w:name w:val="heading 2"/>
    <w:basedOn w:val="Normal"/>
    <w:next w:val="Normal"/>
    <w:qFormat/>
    <w:pPr>
      <w:keepNext w:val="true"/>
      <w:numPr>
        <w:ilvl w:val="1"/>
        <w:numId w:val="1"/>
      </w:numPr>
      <w:jc w:val="both"/>
      <w:outlineLvl w:val="1"/>
    </w:pPr>
    <w:rPr>
      <w:bCs/>
      <w:sz w:val="20"/>
      <w:u w:val="single"/>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2">
    <w:name w:val="Body Text 2"/>
    <w:basedOn w:val="Normal"/>
    <w:qFormat/>
    <w:pPr>
      <w:tabs>
        <w:tab w:val="clear" w:pos="720"/>
        <w:tab w:val="left" w:pos="10800" w:leader="none"/>
      </w:tabs>
      <w:jc w:val="both"/>
    </w:pPr>
    <w:rPr>
      <w:bCs/>
      <w:i/>
      <w:iCs/>
      <w:sz w:val="20"/>
    </w:rPr>
  </w:style>
  <w:style w:type="paragraph" w:styleId="NormalJustified">
    <w:name w:val="Normal (Justified)"/>
    <w:basedOn w:val="Normal"/>
    <w:qFormat/>
    <w:pPr>
      <w:jc w:val="both"/>
    </w:pPr>
    <w:rPr>
      <w:rFonts w:eastAsia="SimSun;宋体"/>
      <w:kern w:val="2"/>
      <w:szCs w:val="20"/>
      <w:lang w:eastAsia="zh-CN"/>
    </w:rPr>
  </w:style>
  <w:style w:type="paragraph" w:styleId="BodyText3">
    <w:name w:val="Body Text 3"/>
    <w:basedOn w:val="Normal"/>
    <w:qFormat/>
    <w:pPr>
      <w:spacing w:before="0" w:after="120"/>
      <w:ind w:hanging="0" w:start="0" w:end="-216"/>
      <w:jc w:val="both"/>
    </w:pPr>
    <w:rPr>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2001-11-19T19:15:00Z</dcterms:created>
  <dc:creator>dhyvl</dc:creator>
  <dc:description/>
  <dc:language>en-CA</dc:language>
  <cp:lastModifiedBy>rconcan</cp:lastModifiedBy>
  <cp:lastPrinted>2001-11-20T10:11:00Z</cp:lastPrinted>
  <dcterms:modified xsi:type="dcterms:W3CDTF">2001-11-20T13:43:00Z</dcterms:modified>
  <cp:revision>28</cp:revision>
  <dc:subject/>
  <dc:title>September 16, 2000</dc:title>
</cp:coreProperties>
</file>